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0"/>
          <w:szCs w:val="40"/>
        </w:rPr>
        <w:t xml:space="preserve">Data Dictionary</w:t>
      </w:r>
    </w:p>
    <w:p>
      <w:pPr>
        <w:spacing w:after="60"/>
      </w:pPr>
      <w:r>
        <w:rPr>
          <w:rFonts w:ascii="Arial" w:cs="Arial" w:eastAsia="Arial" w:hAnsi="Arial"/>
          <w:b/>
          <w:bCs/>
          <w:color w:val="2E75B6"/>
          <w:sz w:val="22"/>
          <w:szCs w:val="22"/>
        </w:rPr>
        <w:t xml:space="preserve">Hourly Metered Volumes and Pool Price and AIL Data — 2020 to July 2025</w:t>
      </w:r>
    </w:p>
    <w:p>
      <w:pPr>
        <w:spacing w:after="240"/>
      </w:pPr>
      <w:r>
        <w:rPr>
          <w:rFonts w:ascii="Arial" w:cs="Arial" w:eastAsia="Arial" w:hAnsi="Arial"/>
          <w:i/>
          <w:iCs/>
          <w:color w:val="595959"/>
          <w:sz w:val="18"/>
          <w:szCs w:val="18"/>
        </w:rPr>
        <w:t xml:space="preserve">DATA 607 Project  |  University of Calgary  |  2026  |  Source: Alberta Electric System Operator (AESO)</w:t>
      </w:r>
    </w:p>
    <w:p>
      <w:pPr>
        <w:pStyle w:val="Heading2"/>
        <w:spacing w:before="240" w:after="120"/>
      </w:pPr>
      <w:r>
        <w:rPr>
          <w:rFonts w:ascii="Arial" w:cs="Arial" w:eastAsia="Arial" w:hAnsi="Arial"/>
          <w:b/>
          <w:bCs/>
          <w:color w:val="2E75B6"/>
          <w:sz w:val="26"/>
          <w:szCs w:val="26"/>
        </w:rPr>
        <w:t xml:space="preserve">1. Timestamp Columns  (2 columns)</w:t>
      </w:r>
    </w:p>
    <w:p>
      <w:pPr>
        <w:spacing w:after="160"/>
      </w:pPr>
      <w:r>
        <w:rPr>
          <w:rFonts w:ascii="Arial" w:cs="Arial" w:eastAsia="Arial" w:hAnsi="Arial"/>
          <w:i/>
          <w:iCs/>
          <w:color w:val="595959"/>
          <w:sz w:val="18"/>
          <w:szCs w:val="18"/>
        </w:rPr>
        <w:t xml:space="preserve">Two representations of the same hour. Date_Begin_Local (MPT) is used as the merge key with the CSD Generation Hourly dataset.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200"/>
        <w:gridCol w:w="83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Field</w:t>
            </w:r>
          </w:p>
        </w:tc>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Example Value</w:t>
            </w:r>
          </w:p>
        </w:tc>
        <w:tc>
          <w:tcPr>
            <w:tcW w:type="dxa" w:w="83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i w:val="false"/>
                <w:iCs w:val="false"/>
                <w:color w:val="1F4E79"/>
                <w:sz w:val="18"/>
                <w:szCs w:val="18"/>
              </w:rPr>
              <w:t xml:space="preserve">Date_Begin_GMT</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datetime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2020-01-01 7:00</w:t>
            </w:r>
          </w:p>
        </w:tc>
        <w:tc>
          <w:tcPr>
            <w:tcW w:type="dxa" w:w="8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Start of the hour in Coordinated Universal Time (UTC). Alberta is UTC-7 in standard time and UTC-6 during daylight saving. Unambiguous across DST transitions but requires conversion to local time for time-of-day feature engineering.</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bCs/>
                <w:i w:val="false"/>
                <w:iCs w:val="false"/>
                <w:color w:val="1F4E79"/>
                <w:sz w:val="18"/>
                <w:szCs w:val="18"/>
              </w:rPr>
              <w:t xml:space="preserve">Date_Begin_Local</w:t>
            </w:r>
          </w:p>
        </w:tc>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datetime</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2020-01-01 0:00</w:t>
            </w:r>
          </w:p>
        </w:tc>
        <w:tc>
          <w:tcPr>
            <w:tcW w:type="dxa" w:w="83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Start of the hour in Mountain Prevailing Time (MPT), which follows daylight saving. Used as the merge key with the CSD Generation Hourly dataset to produce the merged project file. The 2:00 AM hour on each spring DST transition date (2020-2025) is absent - this is expected behaviour, not a data error.</w:t>
            </w:r>
          </w:p>
        </w:tc>
      </w:tr>
    </w:tbl>
    <w:p>
      <w:pPr>
        <w:spacing w:after="200"/>
      </w:pPr>
      <w:r>
        <w:t xml:space="preserve"/>
      </w:r>
    </w:p>
    <w:p>
      <w:pPr>
        <w:pStyle w:val="Heading2"/>
        <w:spacing w:before="240" w:after="120"/>
      </w:pPr>
      <w:r>
        <w:rPr>
          <w:rFonts w:ascii="Arial" w:cs="Arial" w:eastAsia="Arial" w:hAnsi="Arial"/>
          <w:b/>
          <w:bCs/>
          <w:color w:val="2E75B6"/>
          <w:sz w:val="26"/>
          <w:szCs w:val="26"/>
        </w:rPr>
        <w:t xml:space="preserve">2. Asset Metered Volume Columns  (225 columns)</w:t>
      </w:r>
    </w:p>
    <w:p>
      <w:pPr>
        <w:spacing w:after="160"/>
      </w:pPr>
      <w:r>
        <w:rPr>
          <w:rFonts w:ascii="Arial" w:cs="Arial" w:eastAsia="Arial" w:hAnsi="Arial"/>
          <w:i/>
          <w:iCs/>
          <w:color w:val="595959"/>
          <w:sz w:val="18"/>
          <w:szCs w:val="18"/>
        </w:rPr>
        <w:t xml:space="preserve">One column per AESO-registered generating facility. Not retained in the merged project dataset — wind and solar totals are derived separately from the CSD Generation Hourly dataset.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1028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Field(s)</w:t>
            </w:r>
          </w:p>
        </w:tc>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Unit</w:t>
            </w:r>
          </w:p>
        </w:tc>
        <w:tc>
          <w:tcPr>
            <w:tcW w:type="dxa" w:w="102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r>
              <w:rPr>
                <w:rFonts w:ascii="Arial" w:cs="Arial" w:eastAsia="Arial" w:hAnsi="Arial"/>
                <w:b/>
                <w:bCs/>
                <w:i w:val="false"/>
                <w:iCs w:val="false"/>
                <w:color w:val="375623"/>
                <w:sz w:val="18"/>
                <w:szCs w:val="18"/>
              </w:rPr>
              <w:t xml:space="preserve">225 asset columns</w:t>
            </w:r>
          </w:p>
        </w:tc>
        <w:tc>
          <w:tcPr>
            <w:tcW w:type="dxa" w:w="9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float64</w:t>
            </w:r>
          </w:p>
        </w:tc>
        <w:tc>
          <w:tcPr>
            <w:tcW w:type="dxa" w:w="9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MW</w:t>
            </w:r>
          </w:p>
        </w:tc>
        <w:tc>
          <w:tcPr>
            <w:tcW w:type="dxa" w:w="1028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Each column represents the metered generation volume (in MW) for one AESO-registered generating facility during that hour. Asset short names (e.g. AFG1, BOW1) are assigned by AESO and correspond to individual plants and generating units across Alberta. A value of 0 indicates no generation in that hour (asset offline, curtailed, or not yet commissioned). Blank/empty cells indicate the asset was not yet commissioned as of January 2020 and has no data for those earlier hours. Values are non-negative floats representing MW output. These columns are not carried into the merged project dataset — wind and solar totals are instead derived from the CSD Generation Hourly dataset by filtering on Fuel Type and summing Volume per hour.</w:t>
            </w:r>
          </w:p>
        </w:tc>
      </w:tr>
      <w:tr>
        <w:tc>
          <w:tcPr>
            <w:tcW w:type="dxa" w:w="13680"/>
            <w:gridSpan w:val="4"/>
            <w:tcBorders>
              <w:top w:val="single" w:color="CCCCCC" w:sz="1"/>
              <w:left w:val="single" w:color="CCCCCC" w:sz="1"/>
              <w:bottom w:val="single" w:color="CCCCCC" w:sz="1"/>
              <w:right w:val="single" w:color="CCCCCC" w:sz="1"/>
            </w:tcBorders>
            <w:shd w:fill="F2F9EE" w:val="clear"/>
            <w:tcMar>
              <w:top w:type="dxa" w:w="100"/>
              <w:left w:type="dxa" w:w="140"/>
              <w:bottom w:type="dxa" w:w="100"/>
              <w:right w:type="dxa" w:w="140"/>
            </w:tcMar>
          </w:tcPr>
          <w:p>
            <w:pPr>
              <w:spacing w:after="60"/>
            </w:pPr>
            <w:r>
              <w:rPr>
                <w:rFonts w:ascii="Arial" w:cs="Arial" w:eastAsia="Arial" w:hAnsi="Arial"/>
                <w:b/>
                <w:bCs/>
                <w:color w:val="375623"/>
                <w:sz w:val="17"/>
                <w:szCs w:val="17"/>
              </w:rPr>
              <w:t xml:space="preserve">Full list of asset short name codes (225 total):</w:t>
            </w:r>
          </w:p>
          <w:p>
            <w:r>
              <w:rPr>
                <w:rFonts w:ascii="Arial" w:cs="Arial" w:eastAsia="Arial" w:hAnsi="Arial"/>
                <w:color w:val="595959"/>
                <w:sz w:val="15"/>
                <w:szCs w:val="15"/>
              </w:rPr>
              <w:t xml:space="preserve">AFG1   |   AKE1   |   ALP1   |   ALP2   |   APS1   |   BCR2   |   BCRK   |   BIG   |   BOW1   |   BR4   |   BR5   |   BRA   |   BTR1   |   CAL1   |   CHIN   |   CMH1   |   CNR5   |   CR1   |   CRS1   |   CRS2   |   CRS3   |   CRW1   |   DAI1   |   DKSN   |   DOWG   |   DRW1   |   EAGL   |   EC01   |   EC04   |   ENC1   |   ENC2   |   ENC3   |   FNG1   |   GN1   |   GN2   |   GN3   |   GOC1   |   GPEC   |   GWW1   |   HRM   |   ICP1   |   IEW1   |   IOR1   |   JOF1   |   KH1   |   KH2   |   KHW1   |   ME02   |   ME03   |   ME04   |   MEG1   |   MKR1   |   MKRC   |   NPC1   |   NPP1   |   NX01   |   NX02   |   OMRH   |   PH1   |   PR1   |   PW01   |   RB5   |   RYMD   |   SCL1   |   SCR1   |   SCR2   |   SCR3   |   SD3   |   SD4   |   SD5   |   SD6   |   SH1   |   SH2   |   SHCG   |   TAB1   |   TAY1   |   TC01   |   TC02   |   TLM2   |   UOA1   |   VVW1   |   VVW2   |   WEY1   |   WST1   |   WWD1   |   IEW2   |   HMT1   |   ARD1   |   NEP1   |   KH3   |   UOC1   |   SCR4   |   CRR1   |   GEN6   |   HAL1   |   NRG3   |   ANC1   |   GEN5   |   BSR1   |   EGC1   |   OWF1   |   PEC1   |   WCD1   |   CRG1   |   HSM1   |   NAT1   |   BUL1   |   BUL2   |   SDH1   |   SLP1   |   BON1   |   CL01   |   FH1   |   BSC1   |   MUL1   |   BHL1   |   BFD1   |   WHT1   |   CRR2   |   RIV1   |   COD1   |   VXH1   |   HUL1   |   INF1   |   PMB1   |   SUM1   |   IOR4   |   SUF1   |   ERV1   |   CLR1   |   CLR2   |   BRD1   |   BUR1   |   SET1   |   WEF1   |   WRW1   |   HYS1   |   JER1   |   WHT2   |   ERV2   |   HRT1   |   RTL1   |   TVS1   |   NPC3   |   STR1   |   STR2   |   BRK1   |   BRK2   |   COL1   |   NMK1   |   MON1   |   CRD1   |   CRD2   |   WHE1   |   KKP1   |   KKP2   |   FMG1   |   ERV3   |   SRL1   |   EPS1   |   VCN1   |   HHW1   |   CLY1   |   CLY2   |   CYP2   |   HRV1   |   MIC1   |   TRH1   |   HLD1   |   CYP1   |   LAN1   |   JNR3   |   GDP1   |   GRZ1   |   BLS1   |   ERV5   |   CHP1   |   MCH1   |   STV1   |   EMP1   |   HRV2   |   SWP1   |   DFT1   |   YNG1   |   WLC1   |   JNR1   |   CAS1   |   CAS2   |   ERV4   |   ERV6   |   SHH1   |   JFS1   |   JFS2   |   PAW1   |   SDL1   |   WCR1   |   BFL1   |   BFL2   |   BFL3   |   BFL4   |   JNR2   |   ERV7   |   ERV8   |   FCS1   |   SGC1   |   WEM1   |   ERV9   |   SLR1   |   GNR1   |   GNR2   |   FRM1   |   VBN1   |   VNT1   |   BPW1   |   HAL2   |   WPT1   |   VKW1   |   CLD1   |   ACD1   |   VNV1   |   WIN1   |   VBR1   |   WIR1   |   GLE1   |   ETL1</w:t>
            </w:r>
          </w:p>
        </w:tc>
      </w:tr>
    </w:tbl>
    <w:p>
      <w:pPr>
        <w:spacing w:after="200"/>
      </w:pPr>
      <w:r>
        <w:t xml:space="preserve"/>
      </w:r>
    </w:p>
    <w:p>
      <w:pPr>
        <w:pStyle w:val="Heading2"/>
        <w:spacing w:before="240" w:after="120"/>
      </w:pPr>
      <w:r>
        <w:rPr>
          <w:rFonts w:ascii="Arial" w:cs="Arial" w:eastAsia="Arial" w:hAnsi="Arial"/>
          <w:b/>
          <w:bCs/>
          <w:color w:val="2E75B6"/>
          <w:sz w:val="26"/>
          <w:szCs w:val="26"/>
        </w:rPr>
        <w:t xml:space="preserve">3. Market and Grid Summary Columns  (9 columns)</w:t>
      </w:r>
    </w:p>
    <w:p>
      <w:pPr>
        <w:spacing w:after="160"/>
      </w:pPr>
      <w:r>
        <w:rPr>
          <w:rFonts w:ascii="Arial" w:cs="Arial" w:eastAsia="Arial" w:hAnsi="Arial"/>
          <w:i/>
          <w:iCs/>
          <w:color w:val="595959"/>
          <w:sz w:val="18"/>
          <w:szCs w:val="18"/>
        </w:rPr>
        <w:t xml:space="preserve">Aggregate market and interconnection flow columns retained in the merged project dataset. ACTUAL_POOL_PRICE (highlighted) is the source of the binary target variable.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100"/>
        <w:gridCol w:w="900"/>
        <w:gridCol w:w="1980"/>
        <w:gridCol w:w="56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Field</w:t>
            </w:r>
          </w:p>
        </w:tc>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Min</w:t>
            </w:r>
          </w:p>
        </w:tc>
        <w:tc>
          <w:tcPr>
            <w:tcW w:type="dxa" w:w="1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Max</w:t>
            </w:r>
          </w:p>
        </w:tc>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Unit</w:t>
            </w:r>
          </w:p>
        </w:tc>
        <w:tc>
          <w:tcPr>
            <w:tcW w:type="dxa" w:w="19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Role in Project</w:t>
            </w:r>
          </w:p>
        </w:tc>
        <w:tc>
          <w:tcPr>
            <w:tcW w:type="dxa" w:w="5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r>
              <w:rPr>
                <w:rFonts w:ascii="Arial" w:cs="Arial" w:eastAsia="Arial" w:hAnsi="Arial"/>
                <w:b/>
                <w:bCs/>
                <w:i w:val="false"/>
                <w:iCs w:val="false"/>
                <w:color w:val="C00000"/>
                <w:sz w:val="18"/>
                <w:szCs w:val="18"/>
              </w:rPr>
              <w:t xml:space="preserve">ACTUAL_POOL_PRICE</w:t>
            </w:r>
          </w:p>
        </w:tc>
        <w:tc>
          <w:tcPr>
            <w:tcW w:type="dxa" w:w="9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float64</w:t>
            </w:r>
          </w:p>
        </w:tc>
        <w:tc>
          <w:tcPr>
            <w:tcW w:type="dxa" w:w="10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0.00</w:t>
            </w:r>
          </w:p>
        </w:tc>
        <w:tc>
          <w:tcPr>
            <w:tcW w:type="dxa" w:w="11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999.99</w:t>
            </w:r>
          </w:p>
        </w:tc>
        <w:tc>
          <w:tcPr>
            <w:tcW w:type="dxa" w:w="9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CAD/MWh</w:t>
            </w:r>
          </w:p>
        </w:tc>
        <w:tc>
          <w:tcPr>
            <w:tcW w:type="dxa" w:w="19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r>
              <w:rPr>
                <w:rFonts w:ascii="Arial" w:cs="Arial" w:eastAsia="Arial" w:hAnsi="Arial"/>
                <w:b/>
                <w:bCs/>
                <w:i w:val="false"/>
                <w:iCs w:val="false"/>
                <w:color w:val="000000"/>
                <w:sz w:val="18"/>
                <w:szCs w:val="18"/>
              </w:rPr>
              <w:t xml:space="preserve">Target variable source</w:t>
            </w:r>
          </w:p>
        </w:tc>
        <w:tc>
          <w:tcPr>
            <w:tcW w:type="dxa" w:w="5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Alberta wholesale electricity pool price settled for that hour. Source of the binary target variable spike (1 if price &gt; $200, else 0). Values are capped at $999.99 by the AESO market price cap — occurrences of $999.99 reflect a price ceiling hit, not a true market-clearing price. Not used as a direct model input.</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bCs/>
                <w:i w:val="false"/>
                <w:iCs w:val="false"/>
                <w:color w:val="1F4E79"/>
                <w:sz w:val="18"/>
                <w:szCs w:val="18"/>
              </w:rPr>
              <w:t xml:space="preserve">ACTUAL_AIL</w:t>
            </w:r>
          </w:p>
        </w:tc>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int64</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7,579</w:t>
            </w:r>
          </w:p>
        </w:tc>
        <w:tc>
          <w:tcPr>
            <w:tcW w:type="dxa" w:w="11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12,384</w:t>
            </w:r>
          </w:p>
        </w:tc>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MW</w:t>
            </w:r>
          </w:p>
        </w:tc>
        <w:tc>
          <w:tcPr>
            <w:tcW w:type="dxa" w:w="19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bCs/>
                <w:i w:val="false"/>
                <w:iCs w:val="false"/>
                <w:color w:val="000000"/>
                <w:sz w:val="18"/>
                <w:szCs w:val="18"/>
              </w:rPr>
              <w:t xml:space="preserve">Primary predictor</w:t>
            </w:r>
          </w:p>
        </w:tc>
        <w:tc>
          <w:tcPr>
            <w:tcW w:type="dxa" w:w="5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Alberta Internal Load — total electricity demand within the province for that hour. Expected to be the single strongest predictor of price spikes; high demand against limited supply margin drives the pool price toward the market cap.</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i w:val="false"/>
                <w:iCs w:val="false"/>
                <w:color w:val="1F4E79"/>
                <w:sz w:val="18"/>
                <w:szCs w:val="18"/>
              </w:rPr>
              <w:t xml:space="preserve">HOUR_AHEAD_POOL_PRICE_FORECAST</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float64</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~0.00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~999.99</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CAD/MWh</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i w:val="false"/>
                <w:iCs w:val="false"/>
                <w:color w:val="000000"/>
                <w:sz w:val="18"/>
                <w:szCs w:val="18"/>
              </w:rPr>
              <w:t xml:space="preserve">Baseline only (not a model input)</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AESO one-hour-ahead price forecast published before the hour settles. Retained for baseline comparison — the project benchmarks model F1-score against this naive forecast. Deliberately excluded as a model input to ensure models learn from supply/demand drivers rather than a pre-computed price estimate.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bCs/>
                <w:i w:val="false"/>
                <w:iCs w:val="false"/>
                <w:color w:val="1F4E79"/>
                <w:sz w:val="18"/>
                <w:szCs w:val="18"/>
              </w:rPr>
              <w:t xml:space="preserve">EXPORT_BC</w:t>
            </w:r>
          </w:p>
        </w:tc>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int64</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0</w:t>
            </w:r>
          </w:p>
        </w:tc>
        <w:tc>
          <w:tcPr>
            <w:tcW w:type="dxa" w:w="11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1,035</w:t>
            </w:r>
          </w:p>
        </w:tc>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MW</w:t>
            </w:r>
          </w:p>
        </w:tc>
        <w:tc>
          <w:tcPr>
            <w:tcW w:type="dxa" w:w="19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bCs/>
                <w:i w:val="false"/>
                <w:iCs w:val="false"/>
                <w:color w:val="000000"/>
                <w:sz w:val="18"/>
                <w:szCs w:val="18"/>
              </w:rPr>
              <w:t xml:space="preserve">Interconnection flow</w:t>
            </w:r>
          </w:p>
        </w:tc>
        <w:tc>
          <w:tcPr>
            <w:tcW w:type="dxa" w:w="5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Electricity exported from Alberta to British Columbia. Reduces supply available within Alberta and can contribute to upward price pressure during periods of high demand.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i w:val="false"/>
                <w:iCs w:val="false"/>
                <w:color w:val="1F4E79"/>
                <w:sz w:val="18"/>
                <w:szCs w:val="18"/>
              </w:rPr>
              <w:t xml:space="preserve">EXPORT_MT</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int64</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393</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MW</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i w:val="false"/>
                <w:iCs w:val="false"/>
                <w:color w:val="000000"/>
                <w:sz w:val="18"/>
                <w:szCs w:val="18"/>
              </w:rPr>
              <w:t xml:space="preserve">Interconnection flow</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Electricity exported from Alberta to Montana (US). The AB-MT interconnection has lower capacity than the BC tie.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bCs/>
                <w:i w:val="false"/>
                <w:iCs w:val="false"/>
                <w:color w:val="1F4E79"/>
                <w:sz w:val="18"/>
                <w:szCs w:val="18"/>
              </w:rPr>
              <w:t xml:space="preserve">EXPORT_SK</w:t>
            </w:r>
          </w:p>
        </w:tc>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int64</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0</w:t>
            </w:r>
          </w:p>
        </w:tc>
        <w:tc>
          <w:tcPr>
            <w:tcW w:type="dxa" w:w="11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181</w:t>
            </w:r>
          </w:p>
        </w:tc>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MW</w:t>
            </w:r>
          </w:p>
        </w:tc>
        <w:tc>
          <w:tcPr>
            <w:tcW w:type="dxa" w:w="19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bCs/>
                <w:i w:val="false"/>
                <w:iCs w:val="false"/>
                <w:color w:val="000000"/>
                <w:sz w:val="18"/>
                <w:szCs w:val="18"/>
              </w:rPr>
              <w:t xml:space="preserve">Interconnection flow</w:t>
            </w:r>
          </w:p>
        </w:tc>
        <w:tc>
          <w:tcPr>
            <w:tcW w:type="dxa" w:w="5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Electricity exported from Alberta to Saskatchewan. Smallest of the three export flows by maximum observed volume.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i w:val="false"/>
                <w:iCs w:val="false"/>
                <w:color w:val="1F4E79"/>
                <w:sz w:val="18"/>
                <w:szCs w:val="18"/>
              </w:rPr>
              <w:t xml:space="preserve">IMPORT_BC</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int64</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756</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MW</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i w:val="false"/>
                <w:iCs w:val="false"/>
                <w:color w:val="000000"/>
                <w:sz w:val="18"/>
                <w:szCs w:val="18"/>
              </w:rPr>
              <w:t xml:space="preserve">Interconnection flow</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Electricity imported into Alberta from British Columbia — primarily hydroelectric generation. BC imports are one of the most effective external mechanisms for suppressing pool prices during high-demand or low-wind periods.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bCs/>
                <w:i w:val="false"/>
                <w:iCs w:val="false"/>
                <w:color w:val="1F4E79"/>
                <w:sz w:val="18"/>
                <w:szCs w:val="18"/>
              </w:rPr>
              <w:t xml:space="preserve">IMPORT_MT</w:t>
            </w:r>
          </w:p>
        </w:tc>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int64</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0</w:t>
            </w:r>
          </w:p>
        </w:tc>
        <w:tc>
          <w:tcPr>
            <w:tcW w:type="dxa" w:w="11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335</w:t>
            </w:r>
          </w:p>
        </w:tc>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MW</w:t>
            </w:r>
          </w:p>
        </w:tc>
        <w:tc>
          <w:tcPr>
            <w:tcW w:type="dxa" w:w="19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bCs/>
                <w:i w:val="false"/>
                <w:iCs w:val="false"/>
                <w:color w:val="000000"/>
                <w:sz w:val="18"/>
                <w:szCs w:val="18"/>
              </w:rPr>
              <w:t xml:space="preserve">Interconnection flow</w:t>
            </w:r>
          </w:p>
        </w:tc>
        <w:tc>
          <w:tcPr>
            <w:tcW w:type="dxa" w:w="5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Electricity imported into Alberta from Montana (US Pacific Northwest). Provides additional supply buffer during tight grid conditions.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i w:val="false"/>
                <w:iCs w:val="false"/>
                <w:color w:val="1F4E79"/>
                <w:sz w:val="18"/>
                <w:szCs w:val="18"/>
              </w:rPr>
              <w:t xml:space="preserve">IMPORT_SK</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int64</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159</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MW</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i w:val="false"/>
                <w:iCs w:val="false"/>
                <w:color w:val="000000"/>
                <w:sz w:val="18"/>
                <w:szCs w:val="18"/>
              </w:rPr>
              <w:t xml:space="preserve">Interconnection flow</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i w:val="false"/>
                <w:iCs w:val="false"/>
                <w:color w:val="000000"/>
                <w:sz w:val="18"/>
                <w:szCs w:val="18"/>
              </w:rPr>
              <w:t xml:space="preserve">Electricity imported into Alberta from Saskatchewan. Smallest of the three import flows by maximum observed volume.</w:t>
            </w:r>
          </w:p>
        </w:tc>
      </w:tr>
    </w:tbl>
    <w:p>
      <w:pPr>
        <w:spacing w:after="200"/>
      </w:pPr>
      <w:r>
        <w:t xml:space="preserve"/>
      </w:r>
    </w:p>
    <w:p>
      <w:r>
        <w:rPr>
          <w:rFonts w:ascii="Arial" w:cs="Arial" w:eastAsia="Arial" w:hAnsi="Arial"/>
          <w:i/>
          <w:iCs/>
          <w:color w:val="7F7F7F"/>
          <w:sz w:val="16"/>
          <w:szCs w:val="16"/>
        </w:rPr>
        <w:t xml:space="preserve">Source: Alberta Electric System Operator. (2025). Hourly metered volumes and pool price and AIL data [Data set]. https://www.aeso.ca/market/market-and-system-reporting/data-requests/hourly-generation-metered-volumes-and-pool-price-and-ail-data-2001-to-july-2025/</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2026-03-27T19:04:12.056Z</dcterms:created>
  <dcterms:modified xsi:type="dcterms:W3CDTF">2026-03-27T19:04:12.057Z</dcterms:modified>
</cp:coreProperties>
</file>

<file path=docProps/custom.xml><?xml version="1.0" encoding="utf-8"?>
<Properties xmlns="http://schemas.openxmlformats.org/officeDocument/2006/custom-properties" xmlns:vt="http://schemas.openxmlformats.org/officeDocument/2006/docPropsVTypes"/>
</file>