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9563331"/>
        <w:docPartObj>
          <w:docPartGallery w:val="Cover Pages"/>
          <w:docPartUnique/>
        </w:docPartObj>
      </w:sdtPr>
      <w:sdtEndPr/>
      <w:sdtContent>
        <w:p w:rsidR="0043007B" w:rsidRDefault="0043007B">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007B" w:rsidRDefault="0043007B">
                                      <w:pPr>
                                        <w:pStyle w:val="Sinespaciado"/>
                                        <w:spacing w:before="120"/>
                                        <w:jc w:val="center"/>
                                        <w:rPr>
                                          <w:color w:val="FFFFFF" w:themeColor="background1"/>
                                        </w:rPr>
                                      </w:pPr>
                                      <w:r>
                                        <w:rPr>
                                          <w:color w:val="FFFFFF" w:themeColor="background1"/>
                                          <w:lang w:val="es-CO"/>
                                        </w:rPr>
                                        <w:t>Alejandro</w:t>
                                      </w:r>
                                    </w:p>
                                  </w:sdtContent>
                                </w:sdt>
                                <w:p w:rsidR="0043007B" w:rsidRDefault="00285908">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43007B">
                                        <w:rPr>
                                          <w:caps/>
                                          <w:color w:val="FFFFFF" w:themeColor="background1"/>
                                        </w:rPr>
                                        <w:t>BLOOM-Consulting</w:t>
                                      </w:r>
                                    </w:sdtContent>
                                  </w:sdt>
                                  <w:r w:rsidR="0043007B">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3007B">
                                        <w:rPr>
                                          <w:color w:val="FFFFFF" w:themeColor="background1"/>
                                        </w:rPr>
                                        <w:t>v.1.0.0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3007B" w:rsidRDefault="0043007B">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Pruebas marketplace automundial.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007B" w:rsidRDefault="0043007B">
                                <w:pPr>
                                  <w:pStyle w:val="Sinespaciado"/>
                                  <w:spacing w:before="120"/>
                                  <w:jc w:val="center"/>
                                  <w:rPr>
                                    <w:color w:val="FFFFFF" w:themeColor="background1"/>
                                  </w:rPr>
                                </w:pPr>
                                <w:r>
                                  <w:rPr>
                                    <w:color w:val="FFFFFF" w:themeColor="background1"/>
                                    <w:lang w:val="es-CO"/>
                                  </w:rPr>
                                  <w:t>Alejandro</w:t>
                                </w:r>
                              </w:p>
                            </w:sdtContent>
                          </w:sdt>
                          <w:p w:rsidR="0043007B" w:rsidRDefault="00D770B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43007B">
                                  <w:rPr>
                                    <w:caps/>
                                    <w:color w:val="FFFFFF" w:themeColor="background1"/>
                                  </w:rPr>
                                  <w:t>BLOOM-Consulting</w:t>
                                </w:r>
                              </w:sdtContent>
                            </w:sdt>
                            <w:r w:rsidR="0043007B">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3007B">
                                  <w:rPr>
                                    <w:color w:val="FFFFFF" w:themeColor="background1"/>
                                  </w:rPr>
                                  <w:t>v.1.0.0</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3007B" w:rsidRDefault="0043007B">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Pruebas marketplace automundial.</w:t>
                                </w:r>
                              </w:p>
                            </w:sdtContent>
                          </w:sdt>
                        </w:txbxContent>
                      </v:textbox>
                    </v:shape>
                    <w10:wrap anchorx="page" anchory="page"/>
                  </v:group>
                </w:pict>
              </mc:Fallback>
            </mc:AlternateContent>
          </w:r>
        </w:p>
        <w:p w:rsidR="0043007B" w:rsidRDefault="0043007B">
          <w:r>
            <w:br w:type="page"/>
          </w:r>
        </w:p>
      </w:sdtContent>
    </w:sdt>
    <w:p w:rsidR="00F43CA5" w:rsidRDefault="00BD37A0" w:rsidP="00BD37A0">
      <w:pPr>
        <w:pStyle w:val="Ttulo1"/>
        <w:jc w:val="center"/>
        <w:rPr>
          <w:b/>
          <w:sz w:val="40"/>
          <w:szCs w:val="40"/>
        </w:rPr>
      </w:pPr>
      <w:r w:rsidRPr="00BD37A0">
        <w:rPr>
          <w:b/>
          <w:sz w:val="40"/>
          <w:szCs w:val="40"/>
        </w:rPr>
        <w:lastRenderedPageBreak/>
        <w:t>Historial de Cambios</w:t>
      </w:r>
    </w:p>
    <w:p w:rsidR="00BD37A0" w:rsidRPr="00BD37A0" w:rsidRDefault="00BD37A0" w:rsidP="00BD37A0"/>
    <w:tbl>
      <w:tblPr>
        <w:tblStyle w:val="Cuadrculaclara-nfasis11"/>
        <w:tblW w:w="0" w:type="auto"/>
        <w:jc w:val="center"/>
        <w:tblLook w:val="04A0" w:firstRow="1" w:lastRow="0" w:firstColumn="1" w:lastColumn="0" w:noHBand="0" w:noVBand="1"/>
      </w:tblPr>
      <w:tblGrid>
        <w:gridCol w:w="952"/>
        <w:gridCol w:w="1053"/>
        <w:gridCol w:w="1268"/>
        <w:gridCol w:w="1679"/>
        <w:gridCol w:w="1890"/>
        <w:gridCol w:w="1642"/>
      </w:tblGrid>
      <w:tr w:rsidR="00BD37A0" w:rsidRPr="00770D46" w:rsidTr="00BD3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tcPr>
          <w:p w:rsidR="00BD37A0" w:rsidRPr="00770D46" w:rsidRDefault="00BD37A0" w:rsidP="00D3084B">
            <w:pPr>
              <w:jc w:val="center"/>
              <w:rPr>
                <w:rFonts w:ascii="Century" w:hAnsi="Century"/>
                <w:sz w:val="20"/>
              </w:rPr>
            </w:pPr>
            <w:r w:rsidRPr="00770D46">
              <w:rPr>
                <w:rFonts w:ascii="Century" w:hAnsi="Century"/>
                <w:sz w:val="20"/>
              </w:rPr>
              <w:t>Versión</w:t>
            </w:r>
          </w:p>
        </w:tc>
        <w:tc>
          <w:tcPr>
            <w:tcW w:w="1053" w:type="dxa"/>
          </w:tcPr>
          <w:p w:rsidR="00BD37A0" w:rsidRPr="00770D46" w:rsidRDefault="00BD37A0" w:rsidP="00D3084B">
            <w:pPr>
              <w:jc w:val="center"/>
              <w:cnfStyle w:val="100000000000" w:firstRow="1" w:lastRow="0" w:firstColumn="0" w:lastColumn="0" w:oddVBand="0" w:evenVBand="0" w:oddHBand="0" w:evenHBand="0" w:firstRowFirstColumn="0" w:firstRowLastColumn="0" w:lastRowFirstColumn="0" w:lastRowLastColumn="0"/>
              <w:rPr>
                <w:rFonts w:ascii="Century" w:hAnsi="Century"/>
                <w:sz w:val="20"/>
              </w:rPr>
            </w:pPr>
            <w:r w:rsidRPr="00770D46">
              <w:rPr>
                <w:rFonts w:ascii="Century" w:hAnsi="Century"/>
                <w:sz w:val="20"/>
              </w:rPr>
              <w:t>Fecha</w:t>
            </w:r>
          </w:p>
        </w:tc>
        <w:tc>
          <w:tcPr>
            <w:tcW w:w="1268" w:type="dxa"/>
          </w:tcPr>
          <w:p w:rsidR="00BD37A0" w:rsidRPr="00770D46" w:rsidRDefault="00BD37A0" w:rsidP="00BD37A0">
            <w:pPr>
              <w:jc w:val="center"/>
              <w:cnfStyle w:val="100000000000" w:firstRow="1" w:lastRow="0" w:firstColumn="0" w:lastColumn="0" w:oddVBand="0" w:evenVBand="0" w:oddHBand="0" w:evenHBand="0" w:firstRowFirstColumn="0" w:firstRowLastColumn="0" w:lastRowFirstColumn="0" w:lastRowLastColumn="0"/>
              <w:rPr>
                <w:rFonts w:ascii="Century" w:hAnsi="Century"/>
                <w:sz w:val="20"/>
              </w:rPr>
            </w:pPr>
            <w:r>
              <w:rPr>
                <w:rFonts w:ascii="Century" w:hAnsi="Century"/>
                <w:sz w:val="20"/>
              </w:rPr>
              <w:t>Sección Documento</w:t>
            </w:r>
          </w:p>
        </w:tc>
        <w:tc>
          <w:tcPr>
            <w:tcW w:w="1679" w:type="dxa"/>
          </w:tcPr>
          <w:p w:rsidR="00BD37A0" w:rsidRPr="00770D46" w:rsidRDefault="00BD37A0" w:rsidP="00D3084B">
            <w:pPr>
              <w:jc w:val="center"/>
              <w:cnfStyle w:val="100000000000" w:firstRow="1" w:lastRow="0" w:firstColumn="0" w:lastColumn="0" w:oddVBand="0" w:evenVBand="0" w:oddHBand="0" w:evenHBand="0" w:firstRowFirstColumn="0" w:firstRowLastColumn="0" w:lastRowFirstColumn="0" w:lastRowLastColumn="0"/>
              <w:rPr>
                <w:rFonts w:ascii="Century" w:hAnsi="Century"/>
                <w:sz w:val="20"/>
              </w:rPr>
            </w:pPr>
            <w:r>
              <w:rPr>
                <w:rFonts w:ascii="Century" w:hAnsi="Century"/>
                <w:sz w:val="20"/>
              </w:rPr>
              <w:t xml:space="preserve">Proceso y Versión </w:t>
            </w:r>
            <w:proofErr w:type="spellStart"/>
            <w:r>
              <w:rPr>
                <w:rFonts w:ascii="Century" w:hAnsi="Century"/>
                <w:sz w:val="20"/>
              </w:rPr>
              <w:t>MarketPlace</w:t>
            </w:r>
            <w:proofErr w:type="spellEnd"/>
          </w:p>
        </w:tc>
        <w:tc>
          <w:tcPr>
            <w:tcW w:w="1890" w:type="dxa"/>
          </w:tcPr>
          <w:p w:rsidR="00BD37A0" w:rsidRPr="00770D46" w:rsidRDefault="00BD37A0" w:rsidP="00D3084B">
            <w:pPr>
              <w:jc w:val="center"/>
              <w:cnfStyle w:val="100000000000" w:firstRow="1" w:lastRow="0" w:firstColumn="0" w:lastColumn="0" w:oddVBand="0" w:evenVBand="0" w:oddHBand="0" w:evenHBand="0" w:firstRowFirstColumn="0" w:firstRowLastColumn="0" w:lastRowFirstColumn="0" w:lastRowLastColumn="0"/>
              <w:rPr>
                <w:rFonts w:ascii="Century" w:hAnsi="Century"/>
                <w:sz w:val="20"/>
              </w:rPr>
            </w:pPr>
            <w:r w:rsidRPr="00770D46">
              <w:rPr>
                <w:rFonts w:ascii="Century" w:hAnsi="Century"/>
                <w:sz w:val="20"/>
              </w:rPr>
              <w:t>Descripción del cambio</w:t>
            </w:r>
          </w:p>
        </w:tc>
        <w:tc>
          <w:tcPr>
            <w:tcW w:w="1642" w:type="dxa"/>
          </w:tcPr>
          <w:p w:rsidR="00BD37A0" w:rsidRPr="00770D46" w:rsidRDefault="00BD37A0" w:rsidP="00D3084B">
            <w:pPr>
              <w:jc w:val="center"/>
              <w:cnfStyle w:val="100000000000" w:firstRow="1" w:lastRow="0" w:firstColumn="0" w:lastColumn="0" w:oddVBand="0" w:evenVBand="0" w:oddHBand="0" w:evenHBand="0" w:firstRowFirstColumn="0" w:firstRowLastColumn="0" w:lastRowFirstColumn="0" w:lastRowLastColumn="0"/>
              <w:rPr>
                <w:rFonts w:ascii="Century" w:hAnsi="Century"/>
                <w:sz w:val="20"/>
              </w:rPr>
            </w:pPr>
            <w:r w:rsidRPr="00770D46">
              <w:rPr>
                <w:rFonts w:ascii="Century" w:hAnsi="Century"/>
                <w:sz w:val="20"/>
              </w:rPr>
              <w:t>Responsable</w:t>
            </w:r>
          </w:p>
        </w:tc>
      </w:tr>
      <w:tr w:rsidR="00BD37A0" w:rsidRPr="00770D46" w:rsidTr="00BD3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vAlign w:val="center"/>
          </w:tcPr>
          <w:p w:rsidR="00BD37A0" w:rsidRPr="00770D46" w:rsidRDefault="00BD37A0" w:rsidP="00D3084B">
            <w:pPr>
              <w:jc w:val="center"/>
              <w:rPr>
                <w:rFonts w:ascii="Century" w:hAnsi="Century"/>
                <w:sz w:val="20"/>
              </w:rPr>
            </w:pPr>
            <w:r>
              <w:rPr>
                <w:rFonts w:ascii="Century" w:hAnsi="Century"/>
                <w:sz w:val="20"/>
              </w:rPr>
              <w:t>1.0.0</w:t>
            </w:r>
          </w:p>
        </w:tc>
        <w:tc>
          <w:tcPr>
            <w:tcW w:w="1053" w:type="dxa"/>
            <w:vAlign w:val="center"/>
          </w:tcPr>
          <w:p w:rsidR="00BD37A0" w:rsidRPr="00770D46" w:rsidRDefault="00BD37A0" w:rsidP="00BD37A0">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Pr>
                <w:rFonts w:ascii="Century" w:hAnsi="Century"/>
                <w:sz w:val="20"/>
              </w:rPr>
              <w:t>13-12-2015</w:t>
            </w:r>
          </w:p>
        </w:tc>
        <w:tc>
          <w:tcPr>
            <w:tcW w:w="1268"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Pr>
                <w:rFonts w:ascii="Century" w:hAnsi="Century"/>
                <w:sz w:val="20"/>
              </w:rPr>
              <w:t>Todas</w:t>
            </w:r>
            <w:r w:rsidRPr="00770D46">
              <w:rPr>
                <w:rFonts w:ascii="Century" w:hAnsi="Century"/>
                <w:sz w:val="20"/>
              </w:rPr>
              <w:t xml:space="preserve"> </w:t>
            </w:r>
          </w:p>
        </w:tc>
        <w:tc>
          <w:tcPr>
            <w:tcW w:w="1679"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Pr>
                <w:rFonts w:ascii="Century" w:hAnsi="Century"/>
                <w:sz w:val="20"/>
              </w:rPr>
              <w:t>P-</w:t>
            </w:r>
            <w:r>
              <w:rPr>
                <w:rFonts w:ascii="Century" w:hAnsi="Century"/>
                <w:sz w:val="20"/>
              </w:rPr>
              <w:br/>
              <w:t>V 0.0.9</w:t>
            </w:r>
          </w:p>
        </w:tc>
        <w:tc>
          <w:tcPr>
            <w:tcW w:w="1890" w:type="dxa"/>
            <w:vAlign w:val="center"/>
          </w:tcPr>
          <w:p w:rsidR="00BD37A0" w:rsidRPr="00770D46" w:rsidRDefault="00BD37A0" w:rsidP="00BD37A0">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sidRPr="00770D46">
              <w:rPr>
                <w:rFonts w:ascii="Century" w:hAnsi="Century"/>
                <w:sz w:val="20"/>
              </w:rPr>
              <w:t>Crea</w:t>
            </w:r>
            <w:r>
              <w:rPr>
                <w:rFonts w:ascii="Century" w:hAnsi="Century"/>
                <w:sz w:val="20"/>
              </w:rPr>
              <w:t>ció</w:t>
            </w:r>
            <w:r w:rsidRPr="00770D46">
              <w:rPr>
                <w:rFonts w:ascii="Century" w:hAnsi="Century"/>
                <w:sz w:val="20"/>
              </w:rPr>
              <w:t>n de</w:t>
            </w:r>
            <w:r>
              <w:rPr>
                <w:rFonts w:ascii="Century" w:hAnsi="Century"/>
                <w:sz w:val="20"/>
              </w:rPr>
              <w:t>l</w:t>
            </w:r>
            <w:r w:rsidRPr="00770D46">
              <w:rPr>
                <w:rFonts w:ascii="Century" w:hAnsi="Century"/>
                <w:sz w:val="20"/>
              </w:rPr>
              <w:t xml:space="preserve"> </w:t>
            </w:r>
            <w:r>
              <w:rPr>
                <w:rFonts w:ascii="Century" w:hAnsi="Century"/>
                <w:sz w:val="20"/>
              </w:rPr>
              <w:t>documento y formato</w:t>
            </w:r>
          </w:p>
        </w:tc>
        <w:tc>
          <w:tcPr>
            <w:tcW w:w="1642"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Pr>
                <w:rFonts w:ascii="Century" w:hAnsi="Century"/>
                <w:sz w:val="20"/>
              </w:rPr>
              <w:t>Alejandro Cabrerizo</w:t>
            </w:r>
          </w:p>
        </w:tc>
      </w:tr>
      <w:tr w:rsidR="00BD37A0" w:rsidRPr="00770D46" w:rsidTr="00BD37A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vAlign w:val="center"/>
          </w:tcPr>
          <w:p w:rsidR="00BD37A0" w:rsidRPr="00770D46" w:rsidRDefault="00BD37A0" w:rsidP="00D3084B">
            <w:pPr>
              <w:jc w:val="center"/>
              <w:rPr>
                <w:rFonts w:ascii="Century" w:hAnsi="Century"/>
                <w:sz w:val="20"/>
              </w:rPr>
            </w:pPr>
            <w:r>
              <w:rPr>
                <w:rFonts w:ascii="Century" w:hAnsi="Century"/>
                <w:sz w:val="20"/>
              </w:rPr>
              <w:t>1.</w:t>
            </w:r>
            <w:r w:rsidRPr="00770D46">
              <w:rPr>
                <w:rFonts w:ascii="Century" w:hAnsi="Century"/>
                <w:sz w:val="20"/>
              </w:rPr>
              <w:t>0.</w:t>
            </w:r>
            <w:r>
              <w:rPr>
                <w:rFonts w:ascii="Century" w:hAnsi="Century"/>
                <w:sz w:val="20"/>
              </w:rPr>
              <w:t>1</w:t>
            </w:r>
          </w:p>
        </w:tc>
        <w:tc>
          <w:tcPr>
            <w:tcW w:w="1053"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13-08-2011</w:t>
            </w:r>
          </w:p>
        </w:tc>
        <w:tc>
          <w:tcPr>
            <w:tcW w:w="1268"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4</w:t>
            </w:r>
          </w:p>
        </w:tc>
        <w:tc>
          <w:tcPr>
            <w:tcW w:w="1679"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p>
        </w:tc>
        <w:tc>
          <w:tcPr>
            <w:tcW w:w="1890"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Creación de la sección</w:t>
            </w:r>
          </w:p>
        </w:tc>
        <w:tc>
          <w:tcPr>
            <w:tcW w:w="1642"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Arquitecto y diseñador</w:t>
            </w:r>
          </w:p>
        </w:tc>
      </w:tr>
      <w:tr w:rsidR="00BD37A0" w:rsidRPr="00770D46" w:rsidTr="00BD3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vAlign w:val="center"/>
          </w:tcPr>
          <w:p w:rsidR="00BD37A0" w:rsidRPr="00770D46" w:rsidRDefault="00BD37A0" w:rsidP="00D3084B">
            <w:pPr>
              <w:jc w:val="center"/>
              <w:rPr>
                <w:rFonts w:ascii="Century" w:hAnsi="Century"/>
                <w:sz w:val="20"/>
              </w:rPr>
            </w:pPr>
            <w:r>
              <w:rPr>
                <w:rFonts w:ascii="Century" w:hAnsi="Century"/>
                <w:sz w:val="20"/>
              </w:rPr>
              <w:t>1.</w:t>
            </w:r>
            <w:r w:rsidRPr="00770D46">
              <w:rPr>
                <w:rFonts w:ascii="Century" w:hAnsi="Century"/>
                <w:sz w:val="20"/>
              </w:rPr>
              <w:t>0.2</w:t>
            </w:r>
          </w:p>
        </w:tc>
        <w:tc>
          <w:tcPr>
            <w:tcW w:w="1053"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sidRPr="00770D46">
              <w:rPr>
                <w:rFonts w:ascii="Century" w:hAnsi="Century"/>
                <w:sz w:val="20"/>
              </w:rPr>
              <w:t>14-08-2011</w:t>
            </w:r>
          </w:p>
        </w:tc>
        <w:tc>
          <w:tcPr>
            <w:tcW w:w="1268"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sidRPr="00770D46">
              <w:rPr>
                <w:rFonts w:ascii="Century" w:hAnsi="Century"/>
                <w:sz w:val="20"/>
              </w:rPr>
              <w:t>1.1, 4</w:t>
            </w:r>
          </w:p>
        </w:tc>
        <w:tc>
          <w:tcPr>
            <w:tcW w:w="1679"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p>
        </w:tc>
        <w:tc>
          <w:tcPr>
            <w:tcW w:w="1890"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sidRPr="00770D46">
              <w:rPr>
                <w:rFonts w:ascii="Century" w:hAnsi="Century"/>
                <w:sz w:val="20"/>
              </w:rPr>
              <w:t>Corrección de todas las secciones</w:t>
            </w:r>
          </w:p>
        </w:tc>
        <w:tc>
          <w:tcPr>
            <w:tcW w:w="1642" w:type="dxa"/>
            <w:vAlign w:val="center"/>
          </w:tcPr>
          <w:p w:rsidR="00BD37A0" w:rsidRPr="00770D46" w:rsidRDefault="00BD37A0" w:rsidP="00D3084B">
            <w:pPr>
              <w:jc w:val="center"/>
              <w:cnfStyle w:val="000000100000" w:firstRow="0" w:lastRow="0" w:firstColumn="0" w:lastColumn="0" w:oddVBand="0" w:evenVBand="0" w:oddHBand="1" w:evenHBand="0" w:firstRowFirstColumn="0" w:firstRowLastColumn="0" w:lastRowFirstColumn="0" w:lastRowLastColumn="0"/>
              <w:rPr>
                <w:rFonts w:ascii="Century" w:hAnsi="Century"/>
                <w:sz w:val="20"/>
              </w:rPr>
            </w:pPr>
            <w:r w:rsidRPr="00770D46">
              <w:rPr>
                <w:rFonts w:ascii="Century" w:hAnsi="Century"/>
                <w:sz w:val="20"/>
              </w:rPr>
              <w:t>Administrador del proyecto</w:t>
            </w:r>
          </w:p>
        </w:tc>
      </w:tr>
      <w:tr w:rsidR="00BD37A0" w:rsidRPr="00770D46" w:rsidTr="00BD37A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2" w:type="dxa"/>
            <w:vAlign w:val="center"/>
          </w:tcPr>
          <w:p w:rsidR="00BD37A0" w:rsidRPr="00770D46" w:rsidRDefault="00BD37A0" w:rsidP="00D3084B">
            <w:pPr>
              <w:jc w:val="center"/>
              <w:rPr>
                <w:rFonts w:ascii="Century" w:hAnsi="Century"/>
                <w:sz w:val="20"/>
              </w:rPr>
            </w:pPr>
            <w:r>
              <w:rPr>
                <w:rFonts w:ascii="Century" w:hAnsi="Century"/>
                <w:sz w:val="20"/>
              </w:rPr>
              <w:t>1.</w:t>
            </w:r>
            <w:r w:rsidRPr="00770D46">
              <w:rPr>
                <w:rFonts w:ascii="Century" w:hAnsi="Century"/>
                <w:sz w:val="20"/>
              </w:rPr>
              <w:t>0.3</w:t>
            </w:r>
          </w:p>
        </w:tc>
        <w:tc>
          <w:tcPr>
            <w:tcW w:w="1053"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14-08-2011</w:t>
            </w:r>
          </w:p>
        </w:tc>
        <w:tc>
          <w:tcPr>
            <w:tcW w:w="1268"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6.2</w:t>
            </w:r>
          </w:p>
        </w:tc>
        <w:tc>
          <w:tcPr>
            <w:tcW w:w="1679"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p>
        </w:tc>
        <w:tc>
          <w:tcPr>
            <w:tcW w:w="1890"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Creación de la sección</w:t>
            </w:r>
          </w:p>
        </w:tc>
        <w:tc>
          <w:tcPr>
            <w:tcW w:w="1642" w:type="dxa"/>
            <w:vAlign w:val="center"/>
          </w:tcPr>
          <w:p w:rsidR="00BD37A0" w:rsidRPr="00770D46" w:rsidRDefault="00BD37A0" w:rsidP="00D3084B">
            <w:pPr>
              <w:jc w:val="center"/>
              <w:cnfStyle w:val="000000010000" w:firstRow="0" w:lastRow="0" w:firstColumn="0" w:lastColumn="0" w:oddVBand="0" w:evenVBand="0" w:oddHBand="0" w:evenHBand="1" w:firstRowFirstColumn="0" w:firstRowLastColumn="0" w:lastRowFirstColumn="0" w:lastRowLastColumn="0"/>
              <w:rPr>
                <w:rFonts w:ascii="Century" w:hAnsi="Century"/>
                <w:sz w:val="20"/>
              </w:rPr>
            </w:pPr>
            <w:r w:rsidRPr="00770D46">
              <w:rPr>
                <w:rFonts w:ascii="Century" w:hAnsi="Century"/>
                <w:sz w:val="20"/>
              </w:rPr>
              <w:t>Director de desarrollo</w:t>
            </w:r>
          </w:p>
        </w:tc>
      </w:tr>
    </w:tbl>
    <w:p w:rsidR="00BD37A0" w:rsidRDefault="00BD37A0" w:rsidP="00BD37A0"/>
    <w:p w:rsidR="00BD37A0" w:rsidRDefault="00BD37A0">
      <w:r>
        <w:br w:type="page"/>
      </w:r>
    </w:p>
    <w:p w:rsidR="00BD37A0" w:rsidRDefault="00BD37A0" w:rsidP="00BD37A0">
      <w:pPr>
        <w:pStyle w:val="Ttulo1"/>
        <w:jc w:val="center"/>
        <w:rPr>
          <w:b/>
          <w:sz w:val="40"/>
          <w:szCs w:val="40"/>
        </w:rPr>
      </w:pPr>
      <w:r w:rsidRPr="00BD37A0">
        <w:rPr>
          <w:b/>
          <w:sz w:val="40"/>
          <w:szCs w:val="40"/>
        </w:rPr>
        <w:lastRenderedPageBreak/>
        <w:t>Introducción</w:t>
      </w:r>
    </w:p>
    <w:p w:rsidR="00BD37A0" w:rsidRDefault="00BD37A0" w:rsidP="00BD37A0"/>
    <w:p w:rsidR="007D6915" w:rsidRDefault="00BD37A0" w:rsidP="007D6915">
      <w:pPr>
        <w:jc w:val="both"/>
      </w:pPr>
      <w:r>
        <w:t xml:space="preserve">En este documento se consolida la primera versión del proceso de pruebas sobre el </w:t>
      </w:r>
      <w:proofErr w:type="spellStart"/>
      <w:r>
        <w:t>MarketPlace</w:t>
      </w:r>
      <w:proofErr w:type="spellEnd"/>
      <w:r>
        <w:t xml:space="preserve"> de </w:t>
      </w:r>
      <w:proofErr w:type="spellStart"/>
      <w:r>
        <w:t>Automundial</w:t>
      </w:r>
      <w:proofErr w:type="spellEnd"/>
      <w:r>
        <w:t xml:space="preserve">. </w:t>
      </w:r>
      <w:r w:rsidR="007D6915">
        <w:t xml:space="preserve">Por medio de este primer ejercicio se busca tener una primera visión sobre cómo realizar los procesos de pruebas en QA, así como tener lineamientos para la automatización de cada uno de los procesos de prueba. </w:t>
      </w:r>
    </w:p>
    <w:p w:rsidR="00BD37A0" w:rsidRDefault="007D6915" w:rsidP="007D6915">
      <w:pPr>
        <w:jc w:val="both"/>
      </w:pPr>
      <w:r>
        <w:t>Este documento muestra un esbozo de cada funcionalidad a ser probada, junto con una descripción de la localización en la que se encuentra el archivo con la prueba automatizada y algunos de los resultados u ocurrencias más importantes que emergieron al probar cada una de las funcionalidades.</w:t>
      </w:r>
    </w:p>
    <w:p w:rsidR="007D6915" w:rsidRDefault="007D6915" w:rsidP="007D6915">
      <w:pPr>
        <w:jc w:val="both"/>
      </w:pPr>
      <w:r>
        <w:t>El alcance de este documento se centra en proveer un método de estandarización para la realización del protocolo de pruebas, más que en describir los hallazgos resultantes</w:t>
      </w:r>
      <w:r w:rsidR="00D770B5">
        <w:t xml:space="preserve"> al aplicar dicho proceso.</w:t>
      </w:r>
    </w:p>
    <w:p w:rsidR="00285908" w:rsidRDefault="00285908" w:rsidP="007D6915">
      <w:pPr>
        <w:jc w:val="both"/>
      </w:pPr>
    </w:p>
    <w:p w:rsidR="00285908" w:rsidRDefault="00285908" w:rsidP="00285908">
      <w:pPr>
        <w:pStyle w:val="Ttulo1"/>
        <w:jc w:val="center"/>
        <w:rPr>
          <w:b/>
          <w:sz w:val="40"/>
          <w:szCs w:val="40"/>
        </w:rPr>
      </w:pPr>
      <w:r>
        <w:rPr>
          <w:b/>
          <w:sz w:val="40"/>
          <w:szCs w:val="40"/>
        </w:rPr>
        <w:t>Funcionalidad LOGIN</w:t>
      </w:r>
    </w:p>
    <w:p w:rsidR="00285908" w:rsidRDefault="00285908" w:rsidP="00285908"/>
    <w:p w:rsidR="00285908" w:rsidRDefault="00285908" w:rsidP="00285908">
      <w:r>
        <w:t xml:space="preserve">Para testear la funcionalidad de </w:t>
      </w:r>
      <w:proofErr w:type="spellStart"/>
      <w:r>
        <w:t>login</w:t>
      </w:r>
      <w:proofErr w:type="spellEnd"/>
      <w:r>
        <w:t xml:space="preserve"> se usan 3 casos base.</w:t>
      </w:r>
    </w:p>
    <w:p w:rsidR="00285908" w:rsidRDefault="00285908" w:rsidP="00285908">
      <w:pPr>
        <w:pStyle w:val="Prrafodelista"/>
        <w:numPr>
          <w:ilvl w:val="0"/>
          <w:numId w:val="1"/>
        </w:numPr>
      </w:pPr>
      <w:r>
        <w:t>Validar mensaje de error al usar usuario inválido</w:t>
      </w:r>
    </w:p>
    <w:p w:rsidR="00285908" w:rsidRDefault="00285908" w:rsidP="00285908">
      <w:pPr>
        <w:pStyle w:val="Prrafodelista"/>
        <w:numPr>
          <w:ilvl w:val="0"/>
          <w:numId w:val="1"/>
        </w:numPr>
      </w:pPr>
      <w:r>
        <w:t>Validar mensaje de error al us</w:t>
      </w:r>
      <w:r>
        <w:t xml:space="preserve">ar </w:t>
      </w:r>
      <w:proofErr w:type="spellStart"/>
      <w:r>
        <w:t>pasword</w:t>
      </w:r>
      <w:proofErr w:type="spellEnd"/>
      <w:r>
        <w:t xml:space="preserve"> inválido</w:t>
      </w:r>
    </w:p>
    <w:p w:rsidR="00285908" w:rsidRPr="00285908" w:rsidRDefault="00285908" w:rsidP="00285908">
      <w:pPr>
        <w:pStyle w:val="Prrafodelista"/>
        <w:numPr>
          <w:ilvl w:val="0"/>
          <w:numId w:val="1"/>
        </w:numPr>
      </w:pPr>
      <w:r>
        <w:t>Validar ingreso al sistema al usar usuario y credenciales válidas</w:t>
      </w:r>
      <w:bookmarkStart w:id="0" w:name="_GoBack"/>
      <w:bookmarkEnd w:id="0"/>
    </w:p>
    <w:p w:rsidR="00285908" w:rsidRPr="00BD37A0" w:rsidRDefault="00285908" w:rsidP="007D6915">
      <w:pPr>
        <w:jc w:val="both"/>
      </w:pPr>
    </w:p>
    <w:sectPr w:rsidR="00285908" w:rsidRPr="00BD37A0" w:rsidSect="0043007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A38FB"/>
    <w:multiLevelType w:val="hybridMultilevel"/>
    <w:tmpl w:val="7214E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7B"/>
    <w:rsid w:val="00285908"/>
    <w:rsid w:val="00376ABD"/>
    <w:rsid w:val="0043007B"/>
    <w:rsid w:val="007D6915"/>
    <w:rsid w:val="00AC5E0D"/>
    <w:rsid w:val="00BD37A0"/>
    <w:rsid w:val="00D770B5"/>
    <w:rsid w:val="00F43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48D46-80D8-4010-A500-C7F21CCA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3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007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3007B"/>
    <w:rPr>
      <w:rFonts w:eastAsiaTheme="minorEastAsia"/>
      <w:lang w:eastAsia="es-ES"/>
    </w:rPr>
  </w:style>
  <w:style w:type="character" w:customStyle="1" w:styleId="Ttulo1Car">
    <w:name w:val="Título 1 Car"/>
    <w:basedOn w:val="Fuentedeprrafopredeter"/>
    <w:link w:val="Ttulo1"/>
    <w:uiPriority w:val="9"/>
    <w:rsid w:val="00BD37A0"/>
    <w:rPr>
      <w:rFonts w:asciiTheme="majorHAnsi" w:eastAsiaTheme="majorEastAsia" w:hAnsiTheme="majorHAnsi" w:cstheme="majorBidi"/>
      <w:color w:val="2E74B5" w:themeColor="accent1" w:themeShade="BF"/>
      <w:sz w:val="32"/>
      <w:szCs w:val="32"/>
    </w:rPr>
  </w:style>
  <w:style w:type="table" w:customStyle="1" w:styleId="Cuadrculaclara-nfasis11">
    <w:name w:val="Cuadrícula clara - Énfasis 11"/>
    <w:basedOn w:val="Tablanormal"/>
    <w:uiPriority w:val="62"/>
    <w:rsid w:val="00BD37A0"/>
    <w:pPr>
      <w:spacing w:after="0" w:line="240" w:lineRule="auto"/>
    </w:pPr>
    <w:rPr>
      <w:lang w:val="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Prrafodelista">
    <w:name w:val="List Paragraph"/>
    <w:basedOn w:val="Normal"/>
    <w:uiPriority w:val="34"/>
    <w:qFormat/>
    <w:rsid w:val="00285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v.1.0.0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Pages>
  <Words>233</Words>
  <Characters>1283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Pruebas marketplace automundial.</vt:lpstr>
    </vt:vector>
  </TitlesOfParts>
  <Company>BLOOM-Consulting</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 marketplace automundial.</dc:title>
  <dc:subject/>
  <dc:creator>Alejandro</dc:creator>
  <cp:keywords/>
  <dc:description/>
  <cp:lastModifiedBy>Alejandro</cp:lastModifiedBy>
  <cp:revision>3</cp:revision>
  <dcterms:created xsi:type="dcterms:W3CDTF">2015-12-11T15:58:00Z</dcterms:created>
  <dcterms:modified xsi:type="dcterms:W3CDTF">2015-12-16T13:38:00Z</dcterms:modified>
</cp:coreProperties>
</file>