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4E79"/>
          <w:sz w:val="40"/>
        </w:rPr>
        <w:t xml:space="preserve">Pruebas End-to-End (E2E) — Módulo </w:t>
      </w:r>
      <w:r>
        <w:rPr>
          <w:b/>
          <w:color w:val="1F4E79"/>
          <w:sz w:val="40"/>
        </w:rPr>
        <w:t>Bolsillos</w:t>
      </w:r>
      <w:r>
        <w:rPr>
          <w:b/>
          <w:color w:val="1F4E79"/>
          <w:sz w:val="40"/>
        </w:rPr>
        <w:t xml:space="preserve"> y </w:t>
      </w:r>
      <w:r>
        <w:rPr>
          <w:b/>
          <w:color w:val="1F4E79"/>
          <w:sz w:val="40"/>
        </w:rPr>
        <w:t>Depósito</w:t>
      </w:r>
      <w:r>
        <w:rPr>
          <w:b/>
          <w:color w:val="1F4E79"/>
          <w:sz w:val="40"/>
        </w:rPr>
        <w:t xml:space="preserve"> (FuBanking)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6340"/>
      </w:tblGrid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Asignatura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Validación y Verificación de Software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FuBanking — Banco digital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Alcance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Bolsillos (crear, consultar, editar, eliminar, transferir) + Depositar dinero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Tipo de prueba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Aceptación extremo a extremo (caja negra) con BDD y patrón Screenplay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Herramientas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Serenity/JS 3.48 · Cucumber 13.3 · Playwright 1.63 (Chromium) · TypeScript 5.9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Rama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tests/bolsillos-e2e-serenity</w:t>
            </w:r>
            <w:r>
              <w:rPr>
                <w:sz w:val="19"/>
              </w:rPr>
              <w:t xml:space="preserve"> (desde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dev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2026-10-10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1. Resumen ejecutivo</w:t>
      </w:r>
    </w:p>
    <w:p>
      <w:r>
        <w:rPr/>
        <w:t xml:space="preserve">Se construyó una suite de </w:t>
      </w:r>
      <w:r>
        <w:rPr>
          <w:b/>
        </w:rPr>
        <w:t>36 escenarios de aceptación</w:t>
      </w:r>
      <w:r>
        <w:rPr/>
        <w:t xml:space="preserve"> que ejercitan FuBanking </w:t>
      </w:r>
      <w:r>
        <w:rPr>
          <w:b/>
        </w:rPr>
        <w:t>en ejecución</w:t>
      </w:r>
      <w:r>
        <w:rPr/>
        <w:t>: el backend Express real contra Supabase y el frontend Next.js real en un navegador Chromium. Es la primera suite del módulo en la que nada se simula: las pruebas unitarias, de regresión, de seguridad y de performance usan repositorios en memoria o componentes aislados.</w:t>
      </w:r>
    </w:p>
    <w:p>
      <w:r>
        <w:rPr/>
        <w:t>La suite sigue el ejemplo del curso (</w:t>
      </w:r>
      <w:r>
        <w:rPr>
          <w:rFonts w:ascii="Consolas" w:hAnsi="Consolas"/>
          <w:b w:val="0"/>
          <w:color w:val="8B1E3F"/>
          <w:sz w:val="19"/>
        </w:rPr>
        <w:t>serenityjs-e2e-testing</w:t>
      </w:r>
      <w:r>
        <w:rPr/>
        <w:t xml:space="preserve">): Gherkin para describir el comportamiento, el patrón </w:t>
      </w:r>
      <w:r>
        <w:rPr>
          <w:b/>
        </w:rPr>
        <w:t>Screenplay</w:t>
      </w:r>
      <w:r>
        <w:rPr/>
        <w:t xml:space="preserve"> para automatizarlo y el reporte de Serenity/JS como documentación viva. Cubre las seis funcionalidades en dos niveles: </w:t>
      </w:r>
      <w:r>
        <w:rPr>
          <w:b/>
        </w:rPr>
        <w:t>27 escenarios de API</w:t>
      </w:r>
      <w:r>
        <w:rPr/>
        <w:t xml:space="preserve"> y </w:t>
      </w:r>
      <w:r>
        <w:rPr>
          <w:b/>
        </w:rPr>
        <w:t>9 de interfaz web</w:t>
      </w:r>
      <w:r>
        <w:rPr/>
        <w:t>, uno de ellos un recorrido completo que cruza Cuentas y Bolsillos.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19"/>
        <w:gridCol w:w="4321"/>
      </w:tblGrid>
      <w:tr>
        <w:trPr>
          <w:cantSplit w:val="true"/>
          <w:tblHeader w:val="true"/>
        </w:trPr>
        <w:tc>
          <w:tcPr>
            <w:tcW w:type="dxa" w:w="431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432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431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Escenarios (incluye ejemplos de </w:t>
            </w:r>
            <w:r>
              <w:rPr>
                <w:i/>
                <w:sz w:val="19"/>
              </w:rPr>
              <w:t>Scenario Outline</w:t>
            </w:r>
            <w:r>
              <w:rPr>
                <w:sz w:val="19"/>
              </w:rPr>
              <w:t>)</w:t>
            </w:r>
          </w:p>
        </w:tc>
        <w:tc>
          <w:tcPr>
            <w:tcW w:type="dxa" w:w="432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36</w:t>
            </w:r>
          </w:p>
        </w:tc>
      </w:tr>
      <w:tr>
        <w:trPr>
          <w:cantSplit w:val="true"/>
        </w:trPr>
        <w:tc>
          <w:tcPr>
            <w:tcW w:type="dxa" w:w="4319"/>
          </w:tcPr>
          <w:p>
            <w:pPr>
              <w:spacing w:after="0"/>
              <w:jc w:val="left"/>
            </w:pPr>
            <w:r>
              <w:rPr>
                <w:sz w:val="19"/>
              </w:rPr>
              <w:t>Escenarios de API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@api</w:t>
            </w:r>
            <w:r>
              <w:rPr>
                <w:sz w:val="19"/>
              </w:rPr>
              <w:t>) / web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@web</w:t>
            </w:r>
            <w:r>
              <w:rPr>
                <w:sz w:val="19"/>
              </w:rPr>
              <w:t>)</w:t>
            </w:r>
          </w:p>
        </w:tc>
        <w:tc>
          <w:tcPr>
            <w:tcW w:type="dxa" w:w="432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27 / 9</w:t>
            </w:r>
          </w:p>
        </w:tc>
      </w:tr>
      <w:tr>
        <w:trPr>
          <w:cantSplit w:val="true"/>
        </w:trPr>
        <w:tc>
          <w:tcPr>
            <w:tcW w:type="dxa" w:w="4319"/>
          </w:tcPr>
          <w:p>
            <w:pPr>
              <w:spacing w:after="0"/>
              <w:jc w:val="left"/>
            </w:pPr>
            <w:r>
              <w:rPr>
                <w:sz w:val="19"/>
              </w:rPr>
              <w:t>Escenarios de seguridad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@seguridad</w:t>
            </w:r>
            <w:r>
              <w:rPr>
                <w:sz w:val="19"/>
              </w:rPr>
              <w:t xml:space="preserve">: autorización y </w:t>
            </w:r>
            <w:r>
              <w:rPr>
                <w:i/>
                <w:sz w:val="19"/>
              </w:rPr>
              <w:t>type juggling</w:t>
            </w:r>
            <w:r>
              <w:rPr>
                <w:sz w:val="19"/>
              </w:rPr>
              <w:t>)</w:t>
            </w:r>
          </w:p>
        </w:tc>
        <w:tc>
          <w:tcPr>
            <w:tcW w:type="dxa" w:w="432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4319"/>
          </w:tcPr>
          <w:p>
            <w:pPr>
              <w:spacing w:after="0"/>
              <w:jc w:val="left"/>
            </w:pPr>
            <w:r>
              <w:rPr>
                <w:sz w:val="19"/>
              </w:rPr>
              <w:t>Escenarios de humo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@smoke</w:t>
            </w:r>
            <w:r>
              <w:rPr>
                <w:sz w:val="19"/>
              </w:rPr>
              <w:t>)</w:t>
            </w:r>
          </w:p>
        </w:tc>
        <w:tc>
          <w:tcPr>
            <w:tcW w:type="dxa" w:w="432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431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Resultado sobre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dev</w:t>
            </w:r>
          </w:p>
        </w:tc>
        <w:tc>
          <w:tcPr>
            <w:tcW w:type="dxa" w:w="432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36 / 36 aprobados</w:t>
            </w:r>
          </w:p>
        </w:tc>
      </w:tr>
      <w:tr>
        <w:trPr>
          <w:cantSplit w:val="true"/>
        </w:trPr>
        <w:tc>
          <w:tcPr>
            <w:tcW w:type="dxa" w:w="4319"/>
          </w:tcPr>
          <w:p>
            <w:pPr>
              <w:spacing w:after="0"/>
              <w:jc w:val="left"/>
            </w:pPr>
            <w:r>
              <w:rPr>
                <w:sz w:val="19"/>
              </w:rPr>
              <w:t>Mutaciones introducidas a propósito y detectadas</w:t>
            </w:r>
          </w:p>
        </w:tc>
        <w:tc>
          <w:tcPr>
            <w:tcW w:type="dxa" w:w="432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5 / 5</w:t>
            </w:r>
          </w:p>
        </w:tc>
      </w:tr>
      <w:tr>
        <w:trPr>
          <w:cantSplit w:val="true"/>
        </w:trPr>
        <w:tc>
          <w:tcPr>
            <w:tcW w:type="dxa" w:w="4319"/>
          </w:tcPr>
          <w:p>
            <w:pPr>
              <w:spacing w:after="0"/>
              <w:jc w:val="left"/>
            </w:pPr>
            <w:r>
              <w:rPr>
                <w:sz w:val="19"/>
              </w:rPr>
              <w:t>Defectos encontrados</w:t>
            </w:r>
          </w:p>
        </w:tc>
        <w:tc>
          <w:tcPr>
            <w:tcW w:type="dxa" w:w="432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1</w:t>
            </w:r>
            <w:r>
              <w:rPr>
                <w:sz w:val="19"/>
              </w:rPr>
              <w:t xml:space="preserve"> (E2E-01, corregido en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dev</w:t>
            </w:r>
            <w:r>
              <w:rPr>
                <w:sz w:val="19"/>
              </w:rPr>
              <w:t>; la suite queda como regresión)</w:t>
            </w:r>
          </w:p>
        </w:tc>
      </w:tr>
      <w:tr>
        <w:trPr>
          <w:cantSplit w:val="true"/>
        </w:trPr>
        <w:tc>
          <w:tcPr>
            <w:tcW w:type="dxa" w:w="4319"/>
          </w:tcPr>
          <w:p>
            <w:pPr>
              <w:spacing w:after="0"/>
              <w:jc w:val="left"/>
            </w:pPr>
            <w:r>
              <w:rPr>
                <w:sz w:val="19"/>
              </w:rPr>
              <w:t>Cambios de comportamiento en producción</w:t>
            </w:r>
          </w:p>
        </w:tc>
        <w:tc>
          <w:tcPr>
            <w:tcW w:type="dxa" w:w="432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Ninguno</w:t>
            </w:r>
            <w:r>
              <w:rPr>
                <w:sz w:val="19"/>
              </w:rPr>
              <w:t xml:space="preserve"> (solo atributos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data-testid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r>
        <w:rPr>
          <w:b/>
        </w:rPr>
        <w:t>Hallazgo principal.</w:t>
      </w:r>
      <w:r>
        <w:rPr/>
        <w:t xml:space="preserve"> La suite detectó que un cliente que inicia sesión </w:t>
      </w:r>
      <w:r>
        <w:rPr>
          <w:b/>
        </w:rPr>
        <w:t>sin marcar "Recordarme"</w:t>
      </w:r>
      <w:r>
        <w:rPr/>
        <w:t xml:space="preserve"> (la opción por defecto) no podía ver sus cuentas ni sus bolsillos: el token quedaba en </w:t>
      </w:r>
      <w:r>
        <w:rPr>
          <w:rFonts w:ascii="Consolas" w:hAnsi="Consolas"/>
          <w:b w:val="0"/>
          <w:color w:val="8B1E3F"/>
          <w:sz w:val="19"/>
        </w:rPr>
        <w:t>sessionStorage</w:t>
      </w:r>
      <w:r>
        <w:rPr/>
        <w:t xml:space="preserve"> y el cliente HTTP del frontend solo lo buscaba en </w:t>
      </w:r>
      <w:r>
        <w:rPr>
          <w:rFonts w:ascii="Consolas" w:hAnsi="Consolas"/>
          <w:b w:val="0"/>
          <w:color w:val="8B1E3F"/>
          <w:sz w:val="19"/>
        </w:rPr>
        <w:t>localStorage</w:t>
      </w:r>
      <w:r>
        <w:rPr/>
        <w:t xml:space="preserve">, así que todas las peticiones salían sin </w:t>
      </w:r>
      <w:r>
        <w:rPr>
          <w:rFonts w:ascii="Consolas" w:hAnsi="Consolas"/>
          <w:b w:val="0"/>
          <w:color w:val="8B1E3F"/>
          <w:sz w:val="19"/>
        </w:rPr>
        <w:t>Authorization</w:t>
      </w:r>
      <w:r>
        <w:rPr/>
        <w:t xml:space="preserve">. Al integrar la rama con </w:t>
      </w:r>
      <w:r>
        <w:rPr>
          <w:rFonts w:ascii="Consolas" w:hAnsi="Consolas"/>
          <w:b w:val="0"/>
          <w:color w:val="8B1E3F"/>
          <w:sz w:val="19"/>
        </w:rPr>
        <w:t>dev</w:t>
      </w:r>
      <w:r>
        <w:rPr/>
        <w:t xml:space="preserve"> el defecto ya estaba corregido por otro integrante; los 9 escenarios web lo vigilan desde ahora (sección 10.1).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2. Objetivo y alcance</w:t>
      </w:r>
    </w:p>
    <w:p>
      <w:pPr>
        <w:pStyle w:val="Heading2"/>
      </w:pPr>
      <w:r>
        <w:rPr/>
        <w:t>2.1 Objetivo</w:t>
      </w:r>
    </w:p>
    <w:p>
      <w:r>
        <w:rPr/>
        <w:t xml:space="preserve">Verificar que las seis funcionalidades </w:t>
      </w:r>
      <w:r>
        <w:rPr>
          <w:b/>
        </w:rPr>
        <w:t>cumplen su propósito desde el punto de vista del cliente</w:t>
      </w:r>
      <w:r>
        <w:rPr/>
        <w:t>, atravesando todas las capas: navegador → Next.js → API REST → casos de uso → Supabase. En particular, comprobar que: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 xml:space="preserve">Cada operación produce el efecto observable correcto </w:t>
      </w:r>
      <w:r>
        <w:rPr>
          <w:b/>
        </w:rPr>
        <w:t>en pantalla</w:t>
      </w:r>
      <w:r>
        <w:rPr/>
        <w:t xml:space="preserve"> y </w:t>
      </w:r>
      <w:r>
        <w:rPr>
          <w:b/>
        </w:rPr>
        <w:t>en el saldo real</w:t>
      </w:r>
      <w:r>
        <w:rPr/>
        <w:t xml:space="preserve"> de la cuenta (invariante de dinero: lo apartado sale del saldo y vuelve al eliminar).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>Las reglas de negocio y las validaciones responden con el código HTTP y el código de error del contrato.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>Ningún cliente puede leer ni modificar la cuenta o los bolsillos de otro.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>La interfaz guía al usuario ante datos inválidos sin llegar al servidor.</w:t>
      </w:r>
    </w:p>
    <w:p>
      <w:pPr>
        <w:pStyle w:val="Heading2"/>
      </w:pPr>
      <w:r>
        <w:rPr/>
        <w:t>2.2 Funcionalidades, endpoints y pantallas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"/>
        <w:gridCol w:w="1310"/>
        <w:gridCol w:w="2904"/>
        <w:gridCol w:w="1226"/>
        <w:gridCol w:w="2906"/>
      </w:tblGrid>
      <w:tr>
        <w:trPr>
          <w:cantSplit w:val="true"/>
          <w:tblHeader w:val="true"/>
        </w:trPr>
        <w:tc>
          <w:tcPr>
            <w:tcW w:type="dxa" w:w="294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31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Funcionalidad</w:t>
            </w:r>
          </w:p>
        </w:tc>
        <w:tc>
          <w:tcPr>
            <w:tcW w:type="dxa" w:w="290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122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290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 xml:space="preserve">Archivo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.feature</w:t>
            </w:r>
          </w:p>
        </w:tc>
      </w:tr>
      <w:tr>
        <w:trPr>
          <w:cantSplit w:val="true"/>
        </w:trPr>
        <w:tc>
          <w:tcPr>
            <w:tcW w:type="dxa" w:w="294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10"/>
          </w:tcPr>
          <w:p>
            <w:pPr>
              <w:spacing w:after="0"/>
              <w:jc w:val="left"/>
            </w:pPr>
            <w:r>
              <w:rPr>
                <w:sz w:val="19"/>
              </w:rPr>
              <w:t>Crear bolsillo</w:t>
            </w:r>
          </w:p>
        </w:tc>
        <w:tc>
          <w:tcPr>
            <w:tcW w:type="dxa" w:w="290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/api/v1/pockets</w:t>
            </w:r>
          </w:p>
        </w:tc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/pockets</w:t>
            </w:r>
            <w:r>
              <w:rPr>
                <w:sz w:val="19"/>
              </w:rPr>
              <w:t xml:space="preserve"> → </w:t>
            </w:r>
            <w:r>
              <w:rPr>
                <w:i/>
                <w:sz w:val="19"/>
              </w:rPr>
              <w:t>Nuevo bolsillo</w:t>
            </w:r>
          </w:p>
        </w:tc>
        <w:tc>
          <w:tcPr>
            <w:tcW w:type="dxa" w:w="290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bolsillos/crear_bolsillo.feature</w:t>
            </w:r>
          </w:p>
        </w:tc>
      </w:tr>
      <w:tr>
        <w:trPr>
          <w:cantSplit w:val="true"/>
        </w:trPr>
        <w:tc>
          <w:tcPr>
            <w:tcW w:type="dxa" w:w="294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310"/>
          </w:tcPr>
          <w:p>
            <w:pPr>
              <w:spacing w:after="0"/>
              <w:jc w:val="left"/>
            </w:pPr>
            <w:r>
              <w:rPr>
                <w:sz w:val="19"/>
              </w:rPr>
              <w:t>Consultar bolsillos</w:t>
            </w:r>
          </w:p>
        </w:tc>
        <w:tc>
          <w:tcPr>
            <w:tcW w:type="dxa" w:w="290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GET /api/v1/pockets/account/:accountId</w:t>
            </w:r>
          </w:p>
        </w:tc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/pockets</w:t>
            </w:r>
            <w:r>
              <w:rPr>
                <w:sz w:val="19"/>
              </w:rPr>
              <w:t xml:space="preserve"> → </w:t>
            </w:r>
            <w:r>
              <w:rPr>
                <w:i/>
                <w:sz w:val="19"/>
              </w:rPr>
              <w:t>Bolsillos actuales</w:t>
            </w:r>
          </w:p>
        </w:tc>
        <w:tc>
          <w:tcPr>
            <w:tcW w:type="dxa" w:w="290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bolsillos/consultar_bolsillos.feature</w:t>
            </w:r>
          </w:p>
        </w:tc>
      </w:tr>
      <w:tr>
        <w:trPr>
          <w:cantSplit w:val="true"/>
        </w:trPr>
        <w:tc>
          <w:tcPr>
            <w:tcW w:type="dxa" w:w="294"/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310"/>
          </w:tcPr>
          <w:p>
            <w:pPr>
              <w:spacing w:after="0"/>
              <w:jc w:val="left"/>
            </w:pPr>
            <w:r>
              <w:rPr>
                <w:sz w:val="19"/>
              </w:rPr>
              <w:t>Editar bolsillo</w:t>
            </w:r>
          </w:p>
        </w:tc>
        <w:tc>
          <w:tcPr>
            <w:tcW w:type="dxa" w:w="290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PATCH /api/v1/pockets/:pocketId</w:t>
            </w:r>
          </w:p>
        </w:tc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/pockets</w:t>
            </w:r>
            <w:r>
              <w:rPr>
                <w:sz w:val="19"/>
              </w:rPr>
              <w:t xml:space="preserve"> → </w:t>
            </w:r>
            <w:r>
              <w:rPr>
                <w:i/>
                <w:sz w:val="19"/>
              </w:rPr>
              <w:t>Editar</w:t>
            </w:r>
          </w:p>
        </w:tc>
        <w:tc>
          <w:tcPr>
            <w:tcW w:type="dxa" w:w="290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bolsillos/editar_bolsillo.feature</w:t>
            </w:r>
          </w:p>
        </w:tc>
      </w:tr>
      <w:tr>
        <w:trPr>
          <w:cantSplit w:val="true"/>
        </w:trPr>
        <w:tc>
          <w:tcPr>
            <w:tcW w:type="dxa" w:w="294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310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 bolsillo</w:t>
            </w:r>
          </w:p>
        </w:tc>
        <w:tc>
          <w:tcPr>
            <w:tcW w:type="dxa" w:w="290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DELETE /api/v1/pockets/:pocketId</w:t>
            </w:r>
          </w:p>
        </w:tc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/pockets</w:t>
            </w:r>
            <w:r>
              <w:rPr>
                <w:sz w:val="19"/>
              </w:rPr>
              <w:t xml:space="preserve"> → </w:t>
            </w:r>
            <w:r>
              <w:rPr>
                <w:i/>
                <w:sz w:val="19"/>
              </w:rPr>
              <w:t>Eliminar</w:t>
            </w:r>
            <w:r>
              <w:rPr>
                <w:sz w:val="19"/>
              </w:rPr>
              <w:t xml:space="preserve"> + confirmación</w:t>
            </w:r>
          </w:p>
        </w:tc>
        <w:tc>
          <w:tcPr>
            <w:tcW w:type="dxa" w:w="290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bolsillos/eliminar_bolsillo.feature</w:t>
            </w:r>
          </w:p>
        </w:tc>
      </w:tr>
      <w:tr>
        <w:trPr>
          <w:cantSplit w:val="true"/>
        </w:trPr>
        <w:tc>
          <w:tcPr>
            <w:tcW w:type="dxa" w:w="294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310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 entre bolsillos</w:t>
            </w:r>
          </w:p>
        </w:tc>
        <w:tc>
          <w:tcPr>
            <w:tcW w:type="dxa" w:w="290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/api/v1/pockets/transfer</w:t>
            </w:r>
          </w:p>
        </w:tc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/pockets</w:t>
            </w:r>
            <w:r>
              <w:rPr>
                <w:sz w:val="19"/>
              </w:rPr>
              <w:t xml:space="preserve"> → </w:t>
            </w:r>
            <w:r>
              <w:rPr>
                <w:i/>
                <w:sz w:val="19"/>
              </w:rPr>
              <w:t>Transferir entre bolsillos</w:t>
            </w:r>
          </w:p>
        </w:tc>
        <w:tc>
          <w:tcPr>
            <w:tcW w:type="dxa" w:w="290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bolsillos/transferir_entre_bolsillos.feature</w:t>
            </w:r>
          </w:p>
        </w:tc>
      </w:tr>
      <w:tr>
        <w:trPr>
          <w:cantSplit w:val="true"/>
        </w:trPr>
        <w:tc>
          <w:tcPr>
            <w:tcW w:type="dxa" w:w="294"/>
          </w:tcPr>
          <w:p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310"/>
          </w:tcPr>
          <w:p>
            <w:pPr>
              <w:spacing w:after="0"/>
              <w:jc w:val="left"/>
            </w:pPr>
            <w:r>
              <w:rPr>
                <w:sz w:val="19"/>
              </w:rPr>
              <w:t>Depositar dinero</w:t>
            </w:r>
          </w:p>
        </w:tc>
        <w:tc>
          <w:tcPr>
            <w:tcW w:type="dxa" w:w="290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/api/v1/accounts/:id/deposit</w:t>
            </w:r>
          </w:p>
        </w:tc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/accounts</w:t>
            </w:r>
            <w:r>
              <w:rPr>
                <w:sz w:val="19"/>
              </w:rPr>
              <w:t xml:space="preserve"> → </w:t>
            </w:r>
            <w:r>
              <w:rPr>
                <w:i/>
                <w:sz w:val="19"/>
              </w:rPr>
              <w:t>Abonar</w:t>
            </w:r>
          </w:p>
        </w:tc>
        <w:tc>
          <w:tcPr>
            <w:tcW w:type="dxa" w:w="290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deposito/depositar.feature</w:t>
            </w:r>
          </w:p>
        </w:tc>
      </w:tr>
      <w:tr>
        <w:trPr>
          <w:cantSplit w:val="true"/>
        </w:trPr>
        <w:tc>
          <w:tcPr>
            <w:tcW w:type="dxa" w:w="294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310"/>
          </w:tcPr>
          <w:p>
            <w:pPr>
              <w:spacing w:after="0"/>
              <w:jc w:val="left"/>
            </w:pPr>
            <w:r>
              <w:rPr>
                <w:sz w:val="19"/>
              </w:rPr>
              <w:t>Recorrido completo</w:t>
            </w:r>
          </w:p>
        </w:tc>
        <w:tc>
          <w:tcPr>
            <w:tcW w:type="dxa" w:w="2904"/>
          </w:tcPr>
          <w:p>
            <w:pPr>
              <w:spacing w:after="0"/>
              <w:jc w:val="left"/>
            </w:pPr>
            <w:r>
              <w:rPr>
                <w:sz w:val="19"/>
              </w:rPr>
              <w:t>6 + 1</w:t>
            </w:r>
          </w:p>
        </w:tc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/accounts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/pockets</w:t>
            </w:r>
          </w:p>
        </w:tc>
        <w:tc>
          <w:tcPr>
            <w:tcW w:type="dxa" w:w="290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recorrido/abonar_y_ahorrar.feature</w:t>
            </w:r>
          </w:p>
        </w:tc>
      </w:tr>
    </w:tbl>
    <w:p>
      <w:pPr>
        <w:spacing w:after="40"/>
      </w:pPr>
    </w:p>
    <w:p>
      <w:r>
        <w:rPr/>
        <w:t xml:space="preserve">Como apoyo (no son objeto de prueba) la suite usa </w:t>
      </w:r>
      <w:r>
        <w:rPr>
          <w:rFonts w:ascii="Consolas" w:hAnsi="Consolas"/>
          <w:b w:val="0"/>
          <w:color w:val="8B1E3F"/>
          <w:sz w:val="19"/>
        </w:rPr>
        <w:t>POST /auth/register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POST /accounts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GET /accounts/:id</w:t>
      </w:r>
      <w:r>
        <w:rPr/>
        <w:t xml:space="preserve"> y el formulario de </w:t>
      </w:r>
      <w:r>
        <w:rPr>
          <w:rFonts w:ascii="Consolas" w:hAnsi="Consolas"/>
          <w:b w:val="0"/>
          <w:color w:val="8B1E3F"/>
          <w:sz w:val="19"/>
        </w:rPr>
        <w:t>/login</w:t>
      </w:r>
      <w:r>
        <w:rPr/>
        <w:t>.</w:t>
      </w:r>
    </w:p>
    <w:p>
      <w:pPr>
        <w:pStyle w:val="Heading2"/>
      </w:pPr>
      <w:r>
        <w:rPr/>
        <w:t>2.3 Fuera de alcance</w:t>
      </w:r>
    </w:p>
    <w:p>
      <w:pPr>
        <w:pStyle w:val="ListBullet"/>
        <w:spacing w:after="60"/>
      </w:pPr>
      <w:r>
        <w:rPr>
          <w:b/>
        </w:rPr>
        <w:t>Inicio de sesión con 2FA.</w:t>
      </w:r>
      <w:r>
        <w:rPr/>
        <w:t xml:space="preserve"> El segundo factor llega por correo; los clientes de prueba se crean sin 2FA. El </w:t>
      </w:r>
      <w:r>
        <w:rPr>
          <w:i/>
        </w:rPr>
        <w:t>bypass</w:t>
      </w:r>
      <w:r>
        <w:rPr/>
        <w:t xml:space="preserve"> de 2FA ya está cubierto por la suite de seguridad (SEC-01).</w:t>
      </w:r>
    </w:p>
    <w:p>
      <w:pPr>
        <w:pStyle w:val="ListBullet"/>
        <w:spacing w:after="60"/>
      </w:pPr>
      <w:r>
        <w:rPr>
          <w:b/>
        </w:rPr>
        <w:t>Retiros y transferencias entre cuentas.</w:t>
      </w:r>
      <w:r>
        <w:rPr/>
        <w:t xml:space="preserve"> Son de otros integrantes del equipo.</w:t>
      </w:r>
    </w:p>
    <w:p>
      <w:pPr>
        <w:pStyle w:val="ListBullet"/>
        <w:spacing w:after="60"/>
      </w:pPr>
      <w:r>
        <w:rPr>
          <w:b/>
        </w:rPr>
        <w:t>Varios navegadores y dispositivos.</w:t>
      </w:r>
      <w:r>
        <w:rPr/>
        <w:t xml:space="preserve"> Solo Chromium de escritorio (1280 × 720).</w:t>
      </w:r>
    </w:p>
    <w:p>
      <w:pPr>
        <w:pStyle w:val="ListBullet"/>
        <w:spacing w:after="60"/>
      </w:pPr>
      <w:r>
        <w:rPr>
          <w:b/>
        </w:rPr>
        <w:t>Rendimiento bajo carga.</w:t>
      </w:r>
      <w:r>
        <w:rPr/>
        <w:t xml:space="preserve"> Lo cubre la suite de performance; aquí los tiempos solo son informativos.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3. Lugar de las E2E en la estrategia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154"/>
        <w:gridCol w:w="2209"/>
        <w:gridCol w:w="1752"/>
        <w:gridCol w:w="1919"/>
      </w:tblGrid>
      <w:tr>
        <w:trPr>
          <w:cantSplit w:val="true"/>
          <w:tblHeader w:val="true"/>
        </w:trPr>
        <w:tc>
          <w:tcPr>
            <w:tcW w:type="dxa" w:w="160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Suite</w:t>
            </w:r>
          </w:p>
        </w:tc>
        <w:tc>
          <w:tcPr>
            <w:tcW w:type="dxa" w:w="1154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Cantidad</w:t>
            </w:r>
          </w:p>
        </w:tc>
        <w:tc>
          <w:tcPr>
            <w:tcW w:type="dxa" w:w="220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Qué es real</w:t>
            </w:r>
          </w:p>
        </w:tc>
        <w:tc>
          <w:tcPr>
            <w:tcW w:type="dxa" w:w="175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Qué se simula</w:t>
            </w:r>
          </w:p>
        </w:tc>
        <w:tc>
          <w:tcPr>
            <w:tcW w:type="dxa" w:w="191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Pregunta que responde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spacing w:after="0"/>
              <w:jc w:val="left"/>
            </w:pPr>
            <w:r>
              <w:rPr>
                <w:sz w:val="19"/>
              </w:rPr>
              <w:t>Unitarias (Chai BDD)</w:t>
            </w:r>
          </w:p>
        </w:tc>
        <w:tc>
          <w:tcPr>
            <w:tcW w:type="dxa" w:w="1154"/>
          </w:tcPr>
          <w:p>
            <w:pPr>
              <w:spacing w:after="0"/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type="dxa" w:w="2209"/>
          </w:tcPr>
          <w:p>
            <w:pPr>
              <w:spacing w:after="0"/>
              <w:jc w:val="left"/>
            </w:pPr>
            <w:r>
              <w:rPr>
                <w:sz w:val="19"/>
              </w:rPr>
              <w:t>Casos de uso</w:t>
            </w:r>
          </w:p>
        </w:tc>
        <w:tc>
          <w:tcPr>
            <w:tcW w:type="dxa" w:w="1752"/>
          </w:tcPr>
          <w:p>
            <w:pPr>
              <w:spacing w:after="0"/>
              <w:jc w:val="left"/>
            </w:pPr>
            <w:r>
              <w:rPr>
                <w:sz w:val="19"/>
              </w:rPr>
              <w:t>Repositorios (5 dobles)</w:t>
            </w:r>
          </w:p>
        </w:tc>
        <w:tc>
          <w:tcPr>
            <w:tcW w:type="dxa" w:w="1919"/>
          </w:tcPr>
          <w:p>
            <w:pPr>
              <w:spacing w:after="0"/>
              <w:jc w:val="left"/>
            </w:pPr>
            <w:r>
              <w:rPr>
                <w:sz w:val="19"/>
              </w:rPr>
              <w:t>¿La regla de negocio es correcta?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spacing w:after="0"/>
              <w:jc w:val="left"/>
            </w:pPr>
            <w:r>
              <w:rPr>
                <w:sz w:val="19"/>
              </w:rPr>
              <w:t>Regresión (supertest)</w:t>
            </w:r>
          </w:p>
        </w:tc>
        <w:tc>
          <w:tcPr>
            <w:tcW w:type="dxa" w:w="1154"/>
          </w:tcPr>
          <w:p>
            <w:pPr>
              <w:spacing w:after="0"/>
              <w:jc w:val="center"/>
            </w:pPr>
            <w:r>
              <w:rPr>
                <w:sz w:val="19"/>
              </w:rPr>
              <w:t>94</w:t>
            </w:r>
          </w:p>
        </w:tc>
        <w:tc>
          <w:tcPr>
            <w:tcW w:type="dxa" w:w="2209"/>
          </w:tcPr>
          <w:p>
            <w:pPr>
              <w:spacing w:after="0"/>
              <w:jc w:val="left"/>
            </w:pPr>
            <w:r>
              <w:rPr>
                <w:sz w:val="19"/>
              </w:rPr>
              <w:t>JWT, validadores, controladores, casos de uso</w:t>
            </w:r>
          </w:p>
        </w:tc>
        <w:tc>
          <w:tcPr>
            <w:tcW w:type="dxa" w:w="1752"/>
          </w:tcPr>
          <w:p>
            <w:pPr>
              <w:spacing w:after="0"/>
              <w:jc w:val="left"/>
            </w:pPr>
            <w:r>
              <w:rPr>
                <w:sz w:val="19"/>
              </w:rPr>
              <w:t>Persistencia (en memoria)</w:t>
            </w:r>
          </w:p>
        </w:tc>
        <w:tc>
          <w:tcPr>
            <w:tcW w:type="dxa" w:w="1919"/>
          </w:tcPr>
          <w:p>
            <w:pPr>
              <w:spacing w:after="0"/>
              <w:jc w:val="left"/>
            </w:pPr>
            <w:r>
              <w:rPr>
                <w:sz w:val="19"/>
              </w:rPr>
              <w:t>¿Lo que funcionaba sigue funcionando?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spacing w:after="0"/>
              <w:jc w:val="left"/>
            </w:pPr>
            <w:r>
              <w:rPr>
                <w:sz w:val="19"/>
              </w:rPr>
              <w:t>Seguridad</w:t>
            </w:r>
          </w:p>
        </w:tc>
        <w:tc>
          <w:tcPr>
            <w:tcW w:type="dxa" w:w="1154"/>
          </w:tcPr>
          <w:p>
            <w:pPr>
              <w:spacing w:after="0"/>
              <w:jc w:val="center"/>
            </w:pPr>
            <w:r>
              <w:rPr>
                <w:sz w:val="19"/>
              </w:rPr>
              <w:t>158</w:t>
            </w:r>
          </w:p>
        </w:tc>
        <w:tc>
          <w:tcPr>
            <w:tcW w:type="dxa" w:w="220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Igual que regresión +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createApp()</w:t>
            </w:r>
          </w:p>
        </w:tc>
        <w:tc>
          <w:tcPr>
            <w:tcW w:type="dxa" w:w="1752"/>
          </w:tcPr>
          <w:p>
            <w:pPr>
              <w:spacing w:after="0"/>
              <w:jc w:val="left"/>
            </w:pPr>
            <w:r>
              <w:rPr>
                <w:sz w:val="19"/>
              </w:rPr>
              <w:t>Persistencia</w:t>
            </w:r>
          </w:p>
        </w:tc>
        <w:tc>
          <w:tcPr>
            <w:tcW w:type="dxa" w:w="1919"/>
          </w:tcPr>
          <w:p>
            <w:pPr>
              <w:spacing w:after="0"/>
              <w:jc w:val="left"/>
            </w:pPr>
            <w:r>
              <w:rPr>
                <w:sz w:val="19"/>
              </w:rPr>
              <w:t>¿Se puede abusar de la API?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spacing w:after="0"/>
              <w:jc w:val="left"/>
            </w:pPr>
            <w:r>
              <w:rPr>
                <w:sz w:val="19"/>
              </w:rPr>
              <w:t>Performance</w:t>
            </w:r>
          </w:p>
        </w:tc>
        <w:tc>
          <w:tcPr>
            <w:tcW w:type="dxa" w:w="1154"/>
          </w:tcPr>
          <w:p>
            <w:pPr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209"/>
          </w:tcPr>
          <w:p>
            <w:pPr>
              <w:spacing w:after="0"/>
              <w:jc w:val="left"/>
            </w:pPr>
            <w:r>
              <w:rPr>
                <w:sz w:val="19"/>
              </w:rPr>
              <w:t>HTTP sobre la app</w:t>
            </w:r>
          </w:p>
        </w:tc>
        <w:tc>
          <w:tcPr>
            <w:tcW w:type="dxa" w:w="1752"/>
          </w:tcPr>
          <w:p>
            <w:pPr>
              <w:spacing w:after="0"/>
              <w:jc w:val="left"/>
            </w:pPr>
            <w:r>
              <w:rPr>
                <w:sz w:val="19"/>
              </w:rPr>
              <w:t>Persistencia</w:t>
            </w:r>
          </w:p>
        </w:tc>
        <w:tc>
          <w:tcPr>
            <w:tcW w:type="dxa" w:w="1919"/>
          </w:tcPr>
          <w:p>
            <w:pPr>
              <w:spacing w:after="0"/>
              <w:jc w:val="left"/>
            </w:pPr>
            <w:r>
              <w:rPr>
                <w:sz w:val="19"/>
              </w:rPr>
              <w:t>¿Responde dentro del presupuesto?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E2E (este documento)</w:t>
            </w:r>
          </w:p>
        </w:tc>
        <w:tc>
          <w:tcPr>
            <w:tcW w:type="dxa" w:w="1154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36</w:t>
            </w:r>
          </w:p>
        </w:tc>
        <w:tc>
          <w:tcPr>
            <w:tcW w:type="dxa" w:w="2209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Todo: navegador, Next.js, API, Supabase</w:t>
            </w:r>
          </w:p>
        </w:tc>
        <w:tc>
          <w:tcPr>
            <w:tcW w:type="dxa" w:w="1752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Nada</w:t>
            </w:r>
          </w:p>
        </w:tc>
        <w:tc>
          <w:tcPr>
            <w:tcW w:type="dxa" w:w="1919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¿El cliente logra su objetivo?</w:t>
            </w:r>
          </w:p>
        </w:tc>
      </w:tr>
    </w:tbl>
    <w:p>
      <w:pPr>
        <w:spacing w:after="40"/>
      </w:pP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 xml:space="preserve">                 ▲  menos pruebas, más lentas, más realistas</w:t>
        <w:br/>
      </w:r>
      <w:r>
        <w:rPr>
          <w:rFonts w:ascii="Consolas" w:hAnsi="Consolas" w:eastAsia="Consolas"/>
          <w:sz w:val="17"/>
        </w:rPr>
        <w:t xml:space="preserve">        E2E      │   36  · navegador + API + BD reales</w:t>
        <w:br/>
      </w:r>
      <w:r>
        <w:rPr>
          <w:rFonts w:ascii="Consolas" w:hAnsi="Consolas" w:eastAsia="Consolas"/>
          <w:sz w:val="17"/>
        </w:rPr>
        <w:t xml:space="preserve">     Seguridad   │  158  ┐</w:t>
        <w:br/>
      </w:r>
      <w:r>
        <w:rPr>
          <w:rFonts w:ascii="Consolas" w:hAnsi="Consolas" w:eastAsia="Consolas"/>
          <w:sz w:val="17"/>
        </w:rPr>
        <w:t xml:space="preserve">     Regresión   │   94  ├ API real, persistencia en memoria</w:t>
        <w:br/>
      </w:r>
      <w:r>
        <w:rPr>
          <w:rFonts w:ascii="Consolas" w:hAnsi="Consolas" w:eastAsia="Consolas"/>
          <w:sz w:val="17"/>
        </w:rPr>
        <w:t xml:space="preserve">   Performance   │    8  ┘</w:t>
        <w:br/>
      </w:r>
      <w:r>
        <w:rPr>
          <w:rFonts w:ascii="Consolas" w:hAnsi="Consolas" w:eastAsia="Consolas"/>
          <w:sz w:val="17"/>
        </w:rPr>
        <w:t xml:space="preserve">     Unitarias   │   70  · casos de uso aislados</w:t>
        <w:br/>
      </w:r>
      <w:r>
        <w:rPr>
          <w:rFonts w:ascii="Consolas" w:hAnsi="Consolas" w:eastAsia="Consolas"/>
          <w:sz w:val="17"/>
        </w:rPr>
        <w:t xml:space="preserve">                 ▼  más pruebas, más rápidas, más aisladas</w:t>
      </w:r>
    </w:p>
    <w:p>
      <w:r>
        <w:rPr/>
        <w:t xml:space="preserve">Las E2E </w:t>
      </w:r>
      <w:r>
        <w:rPr>
          <w:b/>
        </w:rPr>
        <w:t>no reemplazan</w:t>
      </w:r>
      <w:r>
        <w:rPr/>
        <w:t xml:space="preserve"> a las demás: son pocas y lentas a propósito. Su valor está en lo que las otras no pueden ver: la integración del frontend con la API (el defecto E2E-01 era invisible para las 330 pruebas anteriores), la persistencia real y la experiencia del usuario.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4. Marco de trabajo</w:t>
      </w:r>
    </w:p>
    <w:p>
      <w:pPr>
        <w:pStyle w:val="Heading2"/>
      </w:pPr>
      <w:r>
        <w:rPr/>
        <w:t>4.1 Modelo del curso</w:t>
      </w:r>
    </w:p>
    <w:p>
      <w:r>
        <w:rPr/>
        <w:t>Se tomó como referencia el proyecto del curso [</w:t>
      </w:r>
      <w:r>
        <w:rPr>
          <w:rFonts w:ascii="Consolas" w:hAnsi="Consolas"/>
          <w:b w:val="0"/>
          <w:color w:val="8B1E3F"/>
          <w:sz w:val="19"/>
        </w:rPr>
        <w:t>serenityjs-e2e-testing</w:t>
      </w:r>
      <w:r>
        <w:rPr/>
        <w:t xml:space="preserve">](https://github.com/mauricioramirezv/serenityjs-e2e-testing), con las </w:t>
      </w:r>
      <w:r>
        <w:rPr>
          <w:b/>
        </w:rPr>
        <w:t>mismas versiones</w:t>
      </w:r>
      <w:r>
        <w:rPr/>
        <w:t xml:space="preserve"> de dependencias y la misma organización: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5"/>
        <w:gridCol w:w="4655"/>
      </w:tblGrid>
      <w:tr>
        <w:trPr>
          <w:cantSplit w:val="true"/>
          <w:tblHeader w:val="true"/>
        </w:trPr>
        <w:tc>
          <w:tcPr>
            <w:tcW w:type="dxa" w:w="398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Ejemplo del curso</w:t>
            </w:r>
          </w:p>
        </w:tc>
        <w:tc>
          <w:tcPr>
            <w:tcW w:type="dxa" w:w="465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Equivalente en FuBanking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sz w:val="19"/>
              </w:rPr>
              <w:t>App de demostración local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demoServer.ts</w:t>
            </w:r>
            <w:r>
              <w:rPr>
                <w:sz w:val="19"/>
              </w:rPr>
              <w:t>)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FuBanking real: backend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:3001</w:t>
            </w:r>
            <w:r>
              <w:rPr>
                <w:sz w:val="19"/>
              </w:rPr>
              <w:t xml:space="preserve"> + frontend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:3000</w:t>
            </w:r>
            <w:r>
              <w:rPr>
                <w:sz w:val="19"/>
              </w:rPr>
              <w:t xml:space="preserve"> + Supabase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features/*.feature</w:t>
            </w:r>
            <w:r>
              <w:rPr>
                <w:sz w:val="19"/>
              </w:rPr>
              <w:t xml:space="preserve"> (autenticación, catálogo, API)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features/{bolsillos,deposito,recorrido}/</w:t>
            </w:r>
            <w:r>
              <w:rPr>
                <w:sz w:val="19"/>
              </w:rPr>
              <w:t xml:space="preserve"> — una carpeta por capacidad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Actor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CallAnApi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BrowseTheWebWithPlaywright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Igual, más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TakeNotes</w:t>
            </w:r>
            <w:r>
              <w:rPr>
                <w:sz w:val="19"/>
              </w:rPr>
              <w:t xml:space="preserve"> para recordar cuenta y bolsillos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test/tasks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Authenticate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GetProducts</w:t>
            </w:r>
            <w:r>
              <w:rPr>
                <w:sz w:val="19"/>
              </w:rPr>
              <w:t>…)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test/tasks/api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test/tasks/web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BecomeClient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PocketsApi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PocketsScreen</w:t>
            </w:r>
            <w:r>
              <w:rPr>
                <w:sz w:val="19"/>
              </w:rPr>
              <w:t>…)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test/questions/ShopQuestions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ApiQuestions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ScreenQuestions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test/ui</w:t>
            </w:r>
            <w:r>
              <w:rPr>
                <w:sz w:val="19"/>
              </w:rPr>
              <w:t xml:space="preserve"> (Lean Page Objects)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LoginForm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PocketsPage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AccountsPage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Notifications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Parámetros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{actor}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{pronoun}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sz w:val="19"/>
              </w:rPr>
              <w:t>Igual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Ana… ella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Carlos… él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Etiquetas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@web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@smoke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Igual, más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@bolsillos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@deposito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@seguridad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@serenity-js/html-reporter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Igual, con capturas del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Photographer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sz w:val="19"/>
              </w:rPr>
              <w:t>Contraseña enmascarada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Masked</w:t>
            </w:r>
            <w:r>
              <w:rPr>
                <w:sz w:val="19"/>
              </w:rPr>
              <w:t>)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sz w:val="19"/>
              </w:rPr>
              <w:t>Igual, y además el token y la contraseña fuera del reporte (6.3)</w:t>
            </w:r>
          </w:p>
        </w:tc>
      </w:tr>
      <w:tr>
        <w:trPr>
          <w:cantSplit w:val="true"/>
        </w:trPr>
        <w:tc>
          <w:tcPr>
            <w:tcW w:type="dxa" w:w="398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Ejercicio 4: </w:t>
            </w:r>
            <w:r>
              <w:rPr>
                <w:i/>
                <w:sz w:val="19"/>
              </w:rPr>
              <w:t>blended testing</w:t>
            </w:r>
          </w:p>
        </w:tc>
        <w:tc>
          <w:tcPr>
            <w:tcW w:type="dxa" w:w="4655"/>
          </w:tcPr>
          <w:p>
            <w:pPr>
              <w:spacing w:after="0"/>
              <w:jc w:val="left"/>
            </w:pPr>
            <w:r>
              <w:rPr>
                <w:sz w:val="19"/>
              </w:rPr>
              <w:t>Datos preparados por API y verificados en pantalla (y al revés)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4.2 Patrón Screenplay</w:t>
      </w:r>
    </w:p>
    <w:p>
      <w:r>
        <w:rPr/>
        <w:t xml:space="preserve">Screenplay describe la prueba como lo que </w:t>
      </w:r>
      <w:r>
        <w:rPr>
          <w:b/>
        </w:rPr>
        <w:t>hace un actor</w:t>
      </w:r>
      <w:r>
        <w:rPr/>
        <w:t xml:space="preserve"> para cumplir un objetivo, no como una secuencia de clics. Separa </w:t>
      </w:r>
      <w:r>
        <w:rPr>
          <w:i/>
        </w:rPr>
        <w:t>qué</w:t>
      </w:r>
      <w:r>
        <w:rPr/>
        <w:t xml:space="preserve"> se quiere (tareas del dominio) de </w:t>
      </w:r>
      <w:r>
        <w:rPr>
          <w:i/>
        </w:rPr>
        <w:t>cómo</w:t>
      </w:r>
      <w:r>
        <w:rPr/>
        <w:t xml:space="preserve"> se logra (interacciones con una herramienta).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"/>
        <w:gridCol w:w="2622"/>
        <w:gridCol w:w="4493"/>
      </w:tblGrid>
      <w:tr>
        <w:trPr>
          <w:cantSplit w:val="true"/>
          <w:tblHeader w:val="true"/>
        </w:trPr>
        <w:tc>
          <w:tcPr>
            <w:tcW w:type="dxa" w:w="152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Concepto</w:t>
            </w:r>
          </w:p>
        </w:tc>
        <w:tc>
          <w:tcPr>
            <w:tcW w:type="dxa" w:w="262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49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En esta suite</w:t>
            </w:r>
          </w:p>
        </w:tc>
      </w:tr>
      <w:tr>
        <w:trPr>
          <w:cantSplit w:val="true"/>
        </w:trPr>
        <w:tc>
          <w:tcPr>
            <w:tcW w:type="dxa" w:w="15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type="dxa" w:w="2622"/>
          </w:tcPr>
          <w:p>
            <w:pPr>
              <w:spacing w:after="0"/>
              <w:jc w:val="left"/>
            </w:pPr>
            <w:r>
              <w:rPr>
                <w:sz w:val="19"/>
              </w:rPr>
              <w:t>Quien usa el sistema</w:t>
            </w:r>
          </w:p>
        </w:tc>
        <w:tc>
          <w:tcPr>
            <w:tcW w:type="dxa" w:w="4493"/>
          </w:tcPr>
          <w:p>
            <w:pPr>
              <w:spacing w:after="0"/>
              <w:jc w:val="left"/>
            </w:pPr>
            <w:r>
              <w:rPr>
                <w:sz w:val="19"/>
              </w:rPr>
              <w:t>Ana, Bruno, Carlos, Diana: clientes de FuBanking</w:t>
            </w:r>
          </w:p>
        </w:tc>
      </w:tr>
      <w:tr>
        <w:trPr>
          <w:cantSplit w:val="true"/>
        </w:trPr>
        <w:tc>
          <w:tcPr>
            <w:tcW w:type="dxa" w:w="15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Ability</w:t>
            </w:r>
          </w:p>
        </w:tc>
        <w:tc>
          <w:tcPr>
            <w:tcW w:type="dxa" w:w="2622"/>
          </w:tcPr>
          <w:p>
            <w:pPr>
              <w:spacing w:after="0"/>
              <w:jc w:val="left"/>
            </w:pPr>
            <w:r>
              <w:rPr>
                <w:sz w:val="19"/>
              </w:rPr>
              <w:t>Lo que el actor puede usar</w:t>
            </w:r>
          </w:p>
        </w:tc>
        <w:tc>
          <w:tcPr>
            <w:tcW w:type="dxa" w:w="449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CallAnApi</w:t>
            </w:r>
            <w:r>
              <w:rPr>
                <w:sz w:val="19"/>
              </w:rPr>
              <w:t xml:space="preserve"> (REST),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BrowseTheWebWithPlaywright</w:t>
            </w:r>
            <w:r>
              <w:rPr>
                <w:sz w:val="19"/>
              </w:rPr>
              <w:t xml:space="preserve"> (navegador),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TakeNotes</w:t>
            </w:r>
            <w:r>
              <w:rPr>
                <w:sz w:val="19"/>
              </w:rPr>
              <w:t xml:space="preserve"> (memoria)</w:t>
            </w:r>
          </w:p>
        </w:tc>
      </w:tr>
      <w:tr>
        <w:trPr>
          <w:cantSplit w:val="true"/>
        </w:trPr>
        <w:tc>
          <w:tcPr>
            <w:tcW w:type="dxa" w:w="15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Interaction</w:t>
            </w:r>
          </w:p>
        </w:tc>
        <w:tc>
          <w:tcPr>
            <w:tcW w:type="dxa" w:w="2622"/>
          </w:tcPr>
          <w:p>
            <w:pPr>
              <w:spacing w:after="0"/>
              <w:jc w:val="left"/>
            </w:pPr>
            <w:r>
              <w:rPr>
                <w:sz w:val="19"/>
              </w:rPr>
              <w:t>Acción atómica con una herramienta</w:t>
            </w:r>
          </w:p>
        </w:tc>
        <w:tc>
          <w:tcPr>
            <w:tcW w:type="dxa" w:w="449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Send.a(PostRequest…)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Click.on(…)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Enter.theValue(…)</w:t>
            </w:r>
          </w:p>
        </w:tc>
      </w:tr>
      <w:tr>
        <w:trPr>
          <w:cantSplit w:val="true"/>
        </w:trPr>
        <w:tc>
          <w:tcPr>
            <w:tcW w:type="dxa" w:w="15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2622"/>
          </w:tcPr>
          <w:p>
            <w:pPr>
              <w:spacing w:after="0"/>
              <w:jc w:val="left"/>
            </w:pPr>
            <w:r>
              <w:rPr>
                <w:sz w:val="19"/>
              </w:rPr>
              <w:t>Objetivo de negocio formado por interacciones</w:t>
            </w:r>
          </w:p>
        </w:tc>
        <w:tc>
          <w:tcPr>
            <w:tcW w:type="dxa" w:w="449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BecomeClient.withSavingsBalance(500000)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PocketsScreen.transfer(…)</w:t>
            </w:r>
          </w:p>
        </w:tc>
      </w:tr>
      <w:tr>
        <w:trPr>
          <w:cantSplit w:val="true"/>
        </w:trPr>
        <w:tc>
          <w:tcPr>
            <w:tcW w:type="dxa" w:w="15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2622"/>
          </w:tcPr>
          <w:p>
            <w:pPr>
              <w:spacing w:after="0"/>
              <w:jc w:val="left"/>
            </w:pPr>
            <w:r>
              <w:rPr>
                <w:sz w:val="19"/>
              </w:rPr>
              <w:t>Información que el actor consulta</w:t>
            </w:r>
          </w:p>
        </w:tc>
        <w:tc>
          <w:tcPr>
            <w:tcW w:type="dxa" w:w="449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ApiQuestions.accountBalance()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ScreenQuestions.pocketAmount('Viaje')</w:t>
            </w:r>
          </w:p>
        </w:tc>
      </w:tr>
      <w:tr>
        <w:trPr>
          <w:cantSplit w:val="true"/>
        </w:trPr>
        <w:tc>
          <w:tcPr>
            <w:tcW w:type="dxa" w:w="15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Notepad</w:t>
            </w:r>
          </w:p>
        </w:tc>
        <w:tc>
          <w:tcPr>
            <w:tcW w:type="dxa" w:w="2622"/>
          </w:tcPr>
          <w:p>
            <w:pPr>
              <w:spacing w:after="0"/>
              <w:jc w:val="left"/>
            </w:pPr>
            <w:r>
              <w:rPr>
                <w:sz w:val="19"/>
              </w:rPr>
              <w:t>Memoria del actor durante el escenario</w:t>
            </w:r>
          </w:p>
        </w:tc>
        <w:tc>
          <w:tcPr>
            <w:tcW w:type="dxa" w:w="449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accountId</w:t>
            </w:r>
            <w:r>
              <w:rPr>
                <w:sz w:val="19"/>
              </w:rPr>
              <w:t xml:space="preserve">, correo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nombre → id</w:t>
            </w:r>
            <w:r>
              <w:rPr>
                <w:sz w:val="19"/>
              </w:rPr>
              <w:t xml:space="preserve"> de cada bolsillo</w:t>
            </w:r>
          </w:p>
        </w:tc>
      </w:tr>
    </w:tbl>
    <w:p>
      <w:pPr>
        <w:spacing w:after="40"/>
      </w:pPr>
    </w:p>
    <w:p>
      <w:r>
        <w:rPr/>
        <w:t>Ejemplo de tarea (</w:t>
      </w:r>
      <w:r>
        <w:rPr>
          <w:rFonts w:ascii="Consolas" w:hAnsi="Consolas"/>
          <w:b w:val="0"/>
          <w:color w:val="8B1E3F"/>
          <w:sz w:val="19"/>
        </w:rPr>
        <w:t>test/tasks/api/PocketsApi.ts</w:t>
      </w:r>
      <w:r>
        <w:rPr/>
        <w:t>): el paso Gherkin no conoce URLs ni cuerpos JSON.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transfer: (amount: number, from: string, to: string) =&gt;</w:t>
        <w:br/>
      </w:r>
      <w:r>
        <w:rPr>
          <w:rFonts w:ascii="Consolas" w:hAnsi="Consolas" w:eastAsia="Consolas"/>
          <w:sz w:val="17"/>
        </w:rPr>
        <w:t xml:space="preserve">  Task.where(`#actor transfiere por API ${ amount } del bolsillo "${ from }" al bolsillo "${ to }"`,</w:t>
        <w:br/>
      </w:r>
      <w:r>
        <w:rPr>
          <w:rFonts w:ascii="Consolas" w:hAnsi="Consolas" w:eastAsia="Consolas"/>
          <w:sz w:val="17"/>
        </w:rPr>
        <w:t xml:space="preserve">    Send.a(PostRequest.to('pockets/transfer').with(</w:t>
        <w:br/>
      </w:r>
      <w:r>
        <w:rPr>
          <w:rFonts w:ascii="Consolas" w:hAnsi="Consolas" w:eastAsia="Consolas"/>
          <w:sz w:val="17"/>
        </w:rPr>
        <w:t xml:space="preserve">      Question.fromObject({ fromPocketId: PocketId.of(from), toPocketId: PocketId.of(to), amount }),</w:t>
        <w:br/>
      </w:r>
      <w:r>
        <w:rPr>
          <w:rFonts w:ascii="Consolas" w:hAnsi="Consolas" w:eastAsia="Consolas"/>
          <w:sz w:val="17"/>
        </w:rPr>
        <w:t xml:space="preserve">    )),</w:t>
        <w:br/>
      </w:r>
      <w:r>
        <w:rPr>
          <w:rFonts w:ascii="Consolas" w:hAnsi="Consolas" w:eastAsia="Consolas"/>
          <w:sz w:val="17"/>
        </w:rPr>
        <w:t xml:space="preserve">  ),</w:t>
      </w:r>
    </w:p>
    <w:p>
      <w:r>
        <w:rPr>
          <w:rFonts w:ascii="Consolas" w:hAnsi="Consolas"/>
          <w:b w:val="0"/>
          <w:color w:val="8B1E3F"/>
          <w:sz w:val="19"/>
        </w:rPr>
        <w:t>PocketId.of('Vacaciones')</w:t>
      </w:r>
      <w:r>
        <w:rPr/>
        <w:t xml:space="preserve"> es una </w:t>
      </w:r>
      <w:r>
        <w:rPr>
          <w:i/>
        </w:rPr>
        <w:t>Question</w:t>
      </w:r>
      <w:r>
        <w:rPr/>
        <w:t xml:space="preserve"> que resuelve el id que el actor anotó al crear el bolsillo: el escenario habla de nombres y la tarea traduce a identificadores.</w:t>
      </w:r>
    </w:p>
    <w:p>
      <w:pPr>
        <w:pStyle w:val="Heading2"/>
      </w:pPr>
      <w:r>
        <w:rPr/>
        <w:t>4.3 BDD con Gherkin</w:t>
      </w:r>
    </w:p>
    <w:p>
      <w:r>
        <w:rPr/>
        <w:t>Los escenarios usan las palabras clave en inglés (como el ejemplo del curso) y el texto en español: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@bolsillos</w:t>
        <w:br/>
      </w:r>
      <w:r>
        <w:rPr>
          <w:rFonts w:ascii="Consolas" w:hAnsi="Consolas" w:eastAsia="Consolas"/>
          <w:sz w:val="17"/>
        </w:rPr>
        <w:t>Feature: Transferir entre bolsillos</w:t>
        <w:br/>
      </w:r>
      <w:r>
        <w:rPr>
          <w:rFonts w:ascii="Consolas" w:hAnsi="Consolas" w:eastAsia="Consolas"/>
          <w:sz w:val="17"/>
        </w:rPr>
        <w:t xml:space="preserve">  Background:</w:t>
        <w:br/>
      </w:r>
      <w:r>
        <w:rPr>
          <w:rFonts w:ascii="Consolas" w:hAnsi="Consolas" w:eastAsia="Consolas"/>
          <w:sz w:val="17"/>
        </w:rPr>
        <w:t xml:space="preserve">    Given Ana es clienta con una cuenta de ahorros con saldo de 500000</w:t>
        <w:br/>
      </w:r>
      <w:r>
        <w:rPr>
          <w:rFonts w:ascii="Consolas" w:hAnsi="Consolas" w:eastAsia="Consolas"/>
          <w:sz w:val="17"/>
        </w:rPr>
        <w:t xml:space="preserve">    And ella tiene los bolsillos:</w:t>
        <w:br/>
      </w:r>
      <w:r>
        <w:rPr>
          <w:rFonts w:ascii="Consolas" w:hAnsi="Consolas" w:eastAsia="Consolas"/>
          <w:sz w:val="17"/>
        </w:rPr>
        <w:t xml:space="preserve">      | nombre     | monto  |</w:t>
        <w:br/>
      </w:r>
      <w:r>
        <w:rPr>
          <w:rFonts w:ascii="Consolas" w:hAnsi="Consolas" w:eastAsia="Consolas"/>
          <w:sz w:val="17"/>
        </w:rPr>
        <w:t xml:space="preserve">      | Vacaciones | 100000 |</w:t>
        <w:br/>
      </w:r>
      <w:r>
        <w:rPr>
          <w:rFonts w:ascii="Consolas" w:hAnsi="Consolas" w:eastAsia="Consolas"/>
          <w:sz w:val="17"/>
        </w:rPr>
        <w:t xml:space="preserve">      | Mercado    | 50000  |</w:t>
        <w:br/>
      </w:r>
      <w:r>
        <w:rPr>
          <w:rFonts w:ascii="Consolas" w:hAnsi="Consolas" w:eastAsia="Consolas"/>
          <w:sz w:val="17"/>
        </w:rPr>
        <w:t xml:space="preserve"> </w:t>
        <w:br/>
      </w:r>
      <w:r>
        <w:rPr>
          <w:rFonts w:ascii="Consolas" w:hAnsi="Consolas" w:eastAsia="Consolas"/>
          <w:sz w:val="17"/>
        </w:rPr>
        <w:t xml:space="preserve">  @api @smoke</w:t>
        <w:br/>
      </w:r>
      <w:r>
        <w:rPr>
          <w:rFonts w:ascii="Consolas" w:hAnsi="Consolas" w:eastAsia="Consolas"/>
          <w:sz w:val="17"/>
        </w:rPr>
        <w:t xml:space="preserve">  Scenario: Mover dinero de un bolsillo a otro</w:t>
        <w:br/>
      </w:r>
      <w:r>
        <w:rPr>
          <w:rFonts w:ascii="Consolas" w:hAnsi="Consolas" w:eastAsia="Consolas"/>
          <w:sz w:val="17"/>
        </w:rPr>
        <w:t xml:space="preserve">    When ella transfiere por API 30000 del bolsillo "Vacaciones" al bolsillo "Mercado"</w:t>
        <w:br/>
      </w:r>
      <w:r>
        <w:rPr>
          <w:rFonts w:ascii="Consolas" w:hAnsi="Consolas" w:eastAsia="Consolas"/>
          <w:sz w:val="17"/>
        </w:rPr>
        <w:t xml:space="preserve">    Then la respuesta HTTP tiene estado 200</w:t>
        <w:br/>
      </w:r>
      <w:r>
        <w:rPr>
          <w:rFonts w:ascii="Consolas" w:hAnsi="Consolas" w:eastAsia="Consolas"/>
          <w:sz w:val="17"/>
        </w:rPr>
        <w:t xml:space="preserve">    And su bolsillo "Vacaciones" tiene 70000</w:t>
        <w:br/>
      </w:r>
      <w:r>
        <w:rPr>
          <w:rFonts w:ascii="Consolas" w:hAnsi="Consolas" w:eastAsia="Consolas"/>
          <w:sz w:val="17"/>
        </w:rPr>
        <w:t xml:space="preserve">    And su bolsillo "Mercado" tiene 80000</w:t>
        <w:br/>
      </w:r>
      <w:r>
        <w:rPr>
          <w:rFonts w:ascii="Consolas" w:hAnsi="Consolas" w:eastAsia="Consolas"/>
          <w:sz w:val="17"/>
        </w:rPr>
        <w:t xml:space="preserve">    And el saldo de su cuenta es 350000</w:t>
      </w:r>
    </w:p>
    <w:p>
      <w:pPr>
        <w:pStyle w:val="ListBullet"/>
        <w:spacing w:after="60"/>
      </w:pPr>
      <w:r>
        <w:rPr>
          <w:rFonts w:ascii="Consolas" w:hAnsi="Consolas"/>
          <w:b w:val="0"/>
          <w:color w:val="8B1E3F"/>
          <w:sz w:val="19"/>
        </w:rPr>
        <w:t>{actor}</w:t>
      </w:r>
      <w:r>
        <w:rPr/>
        <w:t xml:space="preserve"> convierte un nombre propio en un actor (</w:t>
      </w:r>
      <w:r>
        <w:rPr>
          <w:rFonts w:ascii="Consolas" w:hAnsi="Consolas"/>
          <w:b w:val="0"/>
          <w:color w:val="8B1E3F"/>
          <w:sz w:val="19"/>
        </w:rPr>
        <w:t>actorCalled('Ana')</w:t>
      </w:r>
      <w:r>
        <w:rPr/>
        <w:t>) y lo pone en foco.</w:t>
      </w:r>
    </w:p>
    <w:p>
      <w:pPr>
        <w:pStyle w:val="ListBullet"/>
        <w:spacing w:after="60"/>
      </w:pPr>
      <w:r>
        <w:rPr>
          <w:rFonts w:ascii="Consolas" w:hAnsi="Consolas"/>
          <w:b w:val="0"/>
          <w:color w:val="8B1E3F"/>
          <w:sz w:val="19"/>
        </w:rPr>
        <w:t>{pronoun}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él</w:t>
      </w:r>
      <w:r>
        <w:rPr/>
        <w:t>/</w:t>
      </w:r>
      <w:r>
        <w:rPr>
          <w:rFonts w:ascii="Consolas" w:hAnsi="Consolas"/>
          <w:b w:val="0"/>
          <w:color w:val="8B1E3F"/>
          <w:sz w:val="19"/>
        </w:rPr>
        <w:t>ella</w:t>
      </w:r>
      <w:r>
        <w:rPr/>
        <w:t>) devuelve el actor en foco, para escribir en lenguaje natural.</w:t>
      </w:r>
    </w:p>
    <w:p>
      <w:pPr>
        <w:pStyle w:val="ListBullet"/>
        <w:spacing w:after="60"/>
      </w:pPr>
      <w:r>
        <w:rPr/>
        <w:t xml:space="preserve">Los </w:t>
      </w:r>
      <w:r>
        <w:rPr>
          <w:i/>
        </w:rPr>
        <w:t>step definitions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features/step-definitions/</w:t>
      </w:r>
      <w:r>
        <w:rPr/>
        <w:t xml:space="preserve">) </w:t>
      </w:r>
      <w:r>
        <w:rPr>
          <w:b/>
        </w:rPr>
        <w:t>no tienen selectores ni URLs</w:t>
      </w:r>
      <w:r>
        <w:rPr/>
        <w:t>: solo delegan en tareas y preguntas.</w:t>
      </w:r>
    </w:p>
    <w:p>
      <w:pPr>
        <w:pStyle w:val="Heading2"/>
      </w:pPr>
      <w:r>
        <w:rPr/>
        <w:t>4.4 Lean Page Objects</w:t>
      </w:r>
    </w:p>
    <w:p>
      <w:r>
        <w:rPr/>
        <w:t xml:space="preserve">Los selectores viven en </w:t>
      </w:r>
      <w:r>
        <w:rPr>
          <w:rFonts w:ascii="Consolas" w:hAnsi="Consolas"/>
          <w:b w:val="0"/>
          <w:color w:val="8B1E3F"/>
          <w:sz w:val="19"/>
        </w:rPr>
        <w:t>test/ui/</w:t>
      </w:r>
      <w:r>
        <w:rPr/>
        <w:t xml:space="preserve"> como funciones que devuelven </w:t>
      </w:r>
      <w:r>
        <w:rPr>
          <w:rFonts w:ascii="Consolas" w:hAnsi="Consolas"/>
          <w:b w:val="0"/>
          <w:color w:val="8B1E3F"/>
          <w:sz w:val="19"/>
        </w:rPr>
        <w:t>PageElement</w:t>
      </w:r>
      <w:r>
        <w:rPr/>
        <w:t xml:space="preserve"> con una descripción legible, que es la que aparece en el reporte: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pocketCard: (name: string) =&gt;</w:t>
        <w:br/>
      </w:r>
      <w:r>
        <w:rPr>
          <w:rFonts w:ascii="Consolas" w:hAnsi="Consolas" w:eastAsia="Consolas"/>
          <w:sz w:val="17"/>
        </w:rPr>
        <w:t xml:space="preserve">  PageElements.located(byTestId('pocket-card'))</w:t>
        <w:br/>
      </w:r>
      <w:r>
        <w:rPr>
          <w:rFonts w:ascii="Consolas" w:hAnsi="Consolas" w:eastAsia="Consolas"/>
          <w:sz w:val="17"/>
        </w:rPr>
        <w:t xml:space="preserve">    .where(Text.of(PageElement.located(byTestId('pocket-card-name'))), equals(name))</w:t>
        <w:br/>
      </w:r>
      <w:r>
        <w:rPr>
          <w:rFonts w:ascii="Consolas" w:hAnsi="Consolas" w:eastAsia="Consolas"/>
          <w:sz w:val="17"/>
        </w:rPr>
        <w:t xml:space="preserve">    .first()</w:t>
        <w:br/>
      </w:r>
      <w:r>
        <w:rPr>
          <w:rFonts w:ascii="Consolas" w:hAnsi="Consolas" w:eastAsia="Consolas"/>
          <w:sz w:val="17"/>
        </w:rPr>
        <w:t xml:space="preserve">    .describedAs(`tarjeta del bolsillo "${ name }"`),</w:t>
      </w:r>
    </w:p>
    <w:p>
      <w:r>
        <w:rPr/>
        <w:t xml:space="preserve">La tarjeta se localiza </w:t>
      </w:r>
      <w:r>
        <w:rPr>
          <w:b/>
        </w:rPr>
        <w:t>por su contenido</w:t>
      </w:r>
      <w:r>
        <w:rPr/>
        <w:t xml:space="preserve"> (el nombre del bolsillo), no por su posición en la lista; si el orden cambia, la prueba sigue siendo válida.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5. Arquitectura de la suite</w:t>
      </w:r>
    </w:p>
    <w:p>
      <w:pPr>
        <w:pStyle w:val="Heading2"/>
      </w:pPr>
      <w:r>
        <w:rPr/>
        <w:t>5.1 Vista de componentes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 xml:space="preserve"> features/*.feature (Gherkin)</w:t>
        <w:br/>
      </w:r>
      <w:r>
        <w:rPr>
          <w:rFonts w:ascii="Consolas" w:hAnsi="Consolas" w:eastAsia="Consolas"/>
          <w:sz w:val="17"/>
        </w:rPr>
        <w:t xml:space="preserve">          │  Cucumber 13 + @serenity-js/cucumber</w:t>
        <w:br/>
      </w:r>
      <w:r>
        <w:rPr>
          <w:rFonts w:ascii="Consolas" w:hAnsi="Consolas" w:eastAsia="Consolas"/>
          <w:sz w:val="17"/>
        </w:rPr>
        <w:t xml:space="preserve">          ▼</w:t>
        <w:br/>
      </w:r>
      <w:r>
        <w:rPr>
          <w:rFonts w:ascii="Consolas" w:hAnsi="Consolas" w:eastAsia="Consolas"/>
          <w:sz w:val="17"/>
        </w:rPr>
        <w:t xml:space="preserve"> step-definitions ──► Tasks / Questions (Screenplay) ──► Lean Page Objects (test/ui)</w:t>
        <w:br/>
      </w:r>
      <w:r>
        <w:rPr>
          <w:rFonts w:ascii="Consolas" w:hAnsi="Consolas" w:eastAsia="Consolas"/>
          <w:sz w:val="17"/>
        </w:rPr>
        <w:t xml:space="preserve">                              │</w:t>
        <w:br/>
      </w:r>
      <w:r>
        <w:rPr>
          <w:rFonts w:ascii="Consolas" w:hAnsi="Consolas" w:eastAsia="Consolas"/>
          <w:sz w:val="17"/>
        </w:rPr>
        <w:t xml:space="preserve">             ┌────────────────┼──────────────────────────────┐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 xml:space="preserve">             ▼                ▼                              ▼</w:t>
        <w:br/>
      </w:r>
      <w:r>
        <w:rPr>
          <w:rFonts w:ascii="Consolas" w:hAnsi="Consolas" w:eastAsia="Consolas"/>
          <w:sz w:val="17"/>
        </w:rPr>
        <w:t xml:space="preserve">        CallAnApi        TakeNotes            BrowseTheWebWithPlaywright</w:t>
        <w:br/>
      </w:r>
      <w:r>
        <w:rPr>
          <w:rFonts w:ascii="Consolas" w:hAnsi="Consolas" w:eastAsia="Consolas"/>
          <w:sz w:val="17"/>
        </w:rPr>
        <w:t xml:space="preserve">     (axios + JWT)   (accountId, bolsillos)    (Chromium, contexto aislado)</w:t>
        <w:br/>
      </w:r>
      <w:r>
        <w:rPr>
          <w:rFonts w:ascii="Consolas" w:hAnsi="Consolas" w:eastAsia="Consolas"/>
          <w:sz w:val="17"/>
        </w:rPr>
        <w:t xml:space="preserve">             │                                               │</w:t>
        <w:br/>
      </w:r>
      <w:r>
        <w:rPr>
          <w:rFonts w:ascii="Consolas" w:hAnsi="Consolas" w:eastAsia="Consolas"/>
          <w:sz w:val="17"/>
        </w:rPr>
        <w:t xml:space="preserve">             ▼                                               ▼</w:t>
        <w:br/>
      </w:r>
      <w:r>
        <w:rPr>
          <w:rFonts w:ascii="Consolas" w:hAnsi="Consolas" w:eastAsia="Consolas"/>
          <w:sz w:val="17"/>
        </w:rPr>
        <w:t xml:space="preserve">   API Express :3001/api/v1  ◄─────── HTTP + JWT ───────  Next.js :3000</w:t>
        <w:br/>
      </w:r>
      <w:r>
        <w:rPr>
          <w:rFonts w:ascii="Consolas" w:hAnsi="Consolas" w:eastAsia="Consolas"/>
          <w:sz w:val="17"/>
        </w:rPr>
        <w:t xml:space="preserve">             │</w:t>
        <w:br/>
      </w:r>
      <w:r>
        <w:rPr>
          <w:rFonts w:ascii="Consolas" w:hAnsi="Consolas" w:eastAsia="Consolas"/>
          <w:sz w:val="17"/>
        </w:rPr>
        <w:t xml:space="preserve">             ▼</w:t>
        <w:br/>
      </w:r>
      <w:r>
        <w:rPr>
          <w:rFonts w:ascii="Consolas" w:hAnsi="Consolas" w:eastAsia="Consolas"/>
          <w:sz w:val="17"/>
        </w:rPr>
        <w:t xml:space="preserve">         Supabase (usuarios, cuentas; bolsillos en memoria si falta la tabla)</w:t>
        <w:br/>
      </w:r>
      <w:r>
        <w:rPr>
          <w:rFonts w:ascii="Consolas" w:hAnsi="Consolas" w:eastAsia="Consolas"/>
          <w:sz w:val="17"/>
        </w:rPr>
        <w:t xml:space="preserve"> </w:t>
        <w:br/>
      </w:r>
      <w:r>
        <w:rPr>
          <w:rFonts w:ascii="Consolas" w:hAnsi="Consolas" w:eastAsia="Consolas"/>
          <w:sz w:val="17"/>
        </w:rPr>
        <w:t xml:space="preserve"> Reporte: @serenity-js/console-reporter + @serenity-js/html-reporter + Photographer</w:t>
      </w:r>
    </w:p>
    <w:p>
      <w:pPr>
        <w:pStyle w:val="Heading2"/>
      </w:pPr>
      <w:r>
        <w:rPr/>
        <w:t>5.2 Estructura de carpetas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e2e/</w:t>
        <w:br/>
      </w:r>
      <w:r>
        <w:rPr>
          <w:rFonts w:ascii="Consolas" w:hAnsi="Consolas" w:eastAsia="Consolas"/>
          <w:sz w:val="17"/>
        </w:rPr>
        <w:t xml:space="preserve">  package.json  cucumber.yaml  tsconfig.json  README.md  scripts/clean.js</w:t>
        <w:br/>
      </w:r>
      <w:r>
        <w:rPr>
          <w:rFonts w:ascii="Consolas" w:hAnsi="Consolas" w:eastAsia="Consolas"/>
          <w:sz w:val="17"/>
        </w:rPr>
        <w:t xml:space="preserve">  features/</w:t>
        <w:br/>
      </w:r>
      <w:r>
        <w:rPr>
          <w:rFonts w:ascii="Consolas" w:hAnsi="Consolas" w:eastAsia="Consolas"/>
          <w:sz w:val="17"/>
        </w:rPr>
        <w:t xml:space="preserve">    bolsillos/   crear · consultar · editar · eliminar · transferir (.feature)</w:t>
        <w:br/>
      </w:r>
      <w:r>
        <w:rPr>
          <w:rFonts w:ascii="Consolas" w:hAnsi="Consolas" w:eastAsia="Consolas"/>
          <w:sz w:val="17"/>
        </w:rPr>
        <w:t xml:space="preserve">    deposito/    depositar.feature</w:t>
        <w:br/>
      </w:r>
      <w:r>
        <w:rPr>
          <w:rFonts w:ascii="Consolas" w:hAnsi="Consolas" w:eastAsia="Consolas"/>
          <w:sz w:val="17"/>
        </w:rPr>
        <w:t xml:space="preserve">    recorrido/   abonar_y_ahorrar.feature</w:t>
        <w:br/>
      </w:r>
      <w:r>
        <w:rPr>
          <w:rFonts w:ascii="Consolas" w:hAnsi="Consolas" w:eastAsia="Consolas"/>
          <w:sz w:val="17"/>
        </w:rPr>
        <w:t xml:space="preserve">    step-definitions/  parameter · cliente · bolsillos · deposito (.steps.ts)</w:t>
        <w:br/>
      </w:r>
      <w:r>
        <w:rPr>
          <w:rFonts w:ascii="Consolas" w:hAnsi="Consolas" w:eastAsia="Consolas"/>
          <w:sz w:val="17"/>
        </w:rPr>
        <w:t xml:space="preserve">    support/serenity.config.ts</w:t>
        <w:br/>
      </w:r>
      <w:r>
        <w:rPr>
          <w:rFonts w:ascii="Consolas" w:hAnsi="Consolas" w:eastAsia="Consolas"/>
          <w:sz w:val="17"/>
        </w:rPr>
        <w:t xml:space="preserve">  test/</w:t>
        <w:br/>
      </w:r>
      <w:r>
        <w:rPr>
          <w:rFonts w:ascii="Consolas" w:hAnsi="Consolas" w:eastAsia="Consolas"/>
          <w:sz w:val="17"/>
        </w:rPr>
        <w:t xml:space="preserve">    tasks/api/   BecomeClient · DepositMoney · ConsultAccount · PocketsApi</w:t>
        <w:br/>
      </w:r>
      <w:r>
        <w:rPr>
          <w:rFonts w:ascii="Consolas" w:hAnsi="Consolas" w:eastAsia="Consolas"/>
          <w:sz w:val="17"/>
        </w:rPr>
        <w:t xml:space="preserve">    tasks/web/   SignIn · PocketsScreen · AccountsScreen</w:t>
        <w:br/>
      </w:r>
      <w:r>
        <w:rPr>
          <w:rFonts w:ascii="Consolas" w:hAnsi="Consolas" w:eastAsia="Consolas"/>
          <w:sz w:val="17"/>
        </w:rPr>
        <w:t xml:space="preserve">    questions/   ApiQuestions · ScreenQuestions</w:t>
        <w:br/>
      </w:r>
      <w:r>
        <w:rPr>
          <w:rFonts w:ascii="Consolas" w:hAnsi="Consolas" w:eastAsia="Consolas"/>
          <w:sz w:val="17"/>
        </w:rPr>
        <w:t xml:space="preserve">    ui/          LoginForm · PocketsPage · AccountsPage · Notifications · selectors</w:t>
        <w:br/>
      </w:r>
      <w:r>
        <w:rPr>
          <w:rFonts w:ascii="Consolas" w:hAnsi="Consolas" w:eastAsia="Consolas"/>
          <w:sz w:val="17"/>
        </w:rPr>
        <w:t xml:space="preserve">    support/     environment · testData · ClientNotes · Credentials · apiTypes</w:t>
      </w:r>
    </w:p>
    <w:p>
      <w:pPr>
        <w:pStyle w:val="Heading2"/>
      </w:pPr>
      <w:r>
        <w:rPr/>
        <w:t>5.3 Configuración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6"/>
        <w:gridCol w:w="3954"/>
        <w:gridCol w:w="2840"/>
      </w:tblGrid>
      <w:tr>
        <w:trPr>
          <w:cantSplit w:val="true"/>
          <w:tblHeader w:val="true"/>
        </w:trPr>
        <w:tc>
          <w:tcPr>
            <w:tcW w:type="dxa" w:w="184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395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Valor</w:t>
            </w:r>
          </w:p>
        </w:tc>
        <w:tc>
          <w:tcPr>
            <w:tcW w:type="dxa" w:w="284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Motivo</w:t>
            </w:r>
          </w:p>
        </w:tc>
      </w:tr>
      <w:tr>
        <w:trPr>
          <w:cantSplit w:val="true"/>
        </w:trPr>
        <w:tc>
          <w:tcPr>
            <w:tcW w:type="dxa" w:w="1846"/>
          </w:tcPr>
          <w:p>
            <w:pPr>
              <w:spacing w:after="0"/>
              <w:jc w:val="left"/>
            </w:pPr>
            <w:r>
              <w:rPr>
                <w:sz w:val="19"/>
              </w:rPr>
              <w:t>Elenco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Cast</w:t>
            </w:r>
            <w:r>
              <w:rPr>
                <w:sz w:val="19"/>
              </w:rPr>
              <w:t>)</w:t>
            </w:r>
          </w:p>
        </w:tc>
        <w:tc>
          <w:tcPr>
            <w:tcW w:type="dxa" w:w="395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Cada actor recibe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CallAnApi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TakeNotes</w:t>
            </w:r>
            <w:r>
              <w:rPr>
                <w:sz w:val="19"/>
              </w:rPr>
              <w:t xml:space="preserve"> y, si hay navegador,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BrowseTheWebWithPlaywright</w:t>
            </w:r>
          </w:p>
        </w:tc>
        <w:tc>
          <w:tcPr>
            <w:tcW w:type="dxa" w:w="2840"/>
          </w:tcPr>
          <w:p>
            <w:pPr>
              <w:spacing w:after="0"/>
              <w:jc w:val="left"/>
            </w:pPr>
            <w:r>
              <w:rPr>
                <w:sz w:val="19"/>
              </w:rPr>
              <w:t>Un mismo actor puede preparar datos por API y verificarlos en pantalla</w:t>
            </w:r>
          </w:p>
        </w:tc>
      </w:tr>
      <w:tr>
        <w:trPr>
          <w:cantSplit w:val="true"/>
        </w:trPr>
        <w:tc>
          <w:tcPr>
            <w:tcW w:type="dxa" w:w="1846"/>
          </w:tcPr>
          <w:p>
            <w:pPr>
              <w:spacing w:after="0"/>
              <w:jc w:val="left"/>
            </w:pPr>
            <w:r>
              <w:rPr>
                <w:sz w:val="19"/>
              </w:rPr>
              <w:t>Contexto del navegador</w:t>
            </w:r>
          </w:p>
        </w:tc>
        <w:tc>
          <w:tcPr>
            <w:tcW w:type="dxa" w:w="395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Uno por actor y por escenario,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locale: 'es-CO'</w:t>
            </w:r>
          </w:p>
        </w:tc>
        <w:tc>
          <w:tcPr>
            <w:tcW w:type="dxa" w:w="2840"/>
          </w:tcPr>
          <w:p>
            <w:pPr>
              <w:spacing w:after="0"/>
              <w:jc w:val="left"/>
            </w:pPr>
            <w:r>
              <w:rPr>
                <w:sz w:val="19"/>
              </w:rPr>
              <w:t>Sesiones aisladas; formato de moneda colombiano</w:t>
            </w:r>
          </w:p>
        </w:tc>
      </w:tr>
      <w:tr>
        <w:trPr>
          <w:cantSplit w:val="true"/>
        </w:trPr>
        <w:tc>
          <w:tcPr>
            <w:tcW w:type="dxa" w:w="1846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Timeout</w:t>
            </w:r>
            <w:r>
              <w:rPr>
                <w:sz w:val="19"/>
              </w:rPr>
              <w:t xml:space="preserve"> de la API</w:t>
            </w:r>
          </w:p>
        </w:tc>
        <w:tc>
          <w:tcPr>
            <w:tcW w:type="dxa" w:w="3954"/>
          </w:tcPr>
          <w:p>
            <w:pPr>
              <w:spacing w:after="0"/>
              <w:jc w:val="left"/>
            </w:pPr>
            <w:r>
              <w:rPr>
                <w:sz w:val="19"/>
              </w:rPr>
              <w:t>30 s por petición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CallAnApi.using</w:t>
            </w:r>
            <w:r>
              <w:rPr>
                <w:sz w:val="19"/>
              </w:rPr>
              <w:t>)</w:t>
            </w:r>
          </w:p>
        </w:tc>
        <w:tc>
          <w:tcPr>
            <w:tcW w:type="dxa" w:w="2840"/>
          </w:tcPr>
          <w:p>
            <w:pPr>
              <w:spacing w:after="0"/>
              <w:jc w:val="left"/>
            </w:pPr>
            <w:r>
              <w:rPr>
                <w:sz w:val="19"/>
              </w:rPr>
              <w:t>Absorber la latencia de Supabase al preparar datos (sección 9)</w:t>
            </w:r>
          </w:p>
        </w:tc>
      </w:tr>
      <w:tr>
        <w:trPr>
          <w:cantSplit w:val="true"/>
        </w:trPr>
        <w:tc>
          <w:tcPr>
            <w:tcW w:type="dxa" w:w="1846"/>
          </w:tcPr>
          <w:p>
            <w:pPr>
              <w:spacing w:after="0"/>
              <w:jc w:val="left"/>
            </w:pPr>
            <w:r>
              <w:rPr>
                <w:sz w:val="19"/>
              </w:rPr>
              <w:t>Espera de navegación</w:t>
            </w:r>
          </w:p>
        </w:tc>
        <w:tc>
          <w:tcPr>
            <w:tcW w:type="dxa" w:w="395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networkidle</w:t>
            </w:r>
            <w:r>
              <w:rPr>
                <w:sz w:val="19"/>
              </w:rPr>
              <w:t>, 60 s</w:t>
            </w:r>
          </w:p>
        </w:tc>
        <w:tc>
          <w:tcPr>
            <w:tcW w:type="dxa" w:w="2840"/>
          </w:tcPr>
          <w:p>
            <w:pPr>
              <w:spacing w:after="0"/>
              <w:jc w:val="left"/>
            </w:pPr>
            <w:r>
              <w:rPr>
                <w:sz w:val="19"/>
              </w:rPr>
              <w:t>Esperar a que Next.js hidrate la página (sección 9)</w:t>
            </w:r>
          </w:p>
        </w:tc>
      </w:tr>
      <w:tr>
        <w:trPr>
          <w:cantSplit w:val="true"/>
        </w:trPr>
        <w:tc>
          <w:tcPr>
            <w:tcW w:type="dxa" w:w="1846"/>
          </w:tcPr>
          <w:p>
            <w:pPr>
              <w:spacing w:after="0"/>
              <w:jc w:val="left"/>
            </w:pPr>
            <w:r>
              <w:rPr>
                <w:sz w:val="19"/>
              </w:rPr>
              <w:t>Tiempo por interacción</w:t>
            </w:r>
          </w:p>
        </w:tc>
        <w:tc>
          <w:tcPr>
            <w:tcW w:type="dxa" w:w="3954"/>
          </w:tcPr>
          <w:p>
            <w:pPr>
              <w:spacing w:after="0"/>
              <w:jc w:val="left"/>
            </w:pPr>
            <w:r>
              <w:rPr>
                <w:sz w:val="19"/>
              </w:rPr>
              <w:t>15 s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interactionTimeout</w:t>
            </w:r>
            <w:r>
              <w:rPr>
                <w:sz w:val="19"/>
              </w:rPr>
              <w:t>)</w:t>
            </w:r>
          </w:p>
        </w:tc>
        <w:tc>
          <w:tcPr>
            <w:tcW w:type="dxa" w:w="284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Compilación de rutas en modo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next dev</w:t>
            </w:r>
          </w:p>
        </w:tc>
      </w:tr>
      <w:tr>
        <w:trPr>
          <w:cantSplit w:val="true"/>
        </w:trPr>
        <w:tc>
          <w:tcPr>
            <w:tcW w:type="dxa" w:w="1846"/>
          </w:tcPr>
          <w:p>
            <w:pPr>
              <w:spacing w:after="0"/>
              <w:jc w:val="left"/>
            </w:pPr>
            <w:r>
              <w:rPr>
                <w:sz w:val="19"/>
              </w:rPr>
              <w:t>Tiempo por paso Cucumber</w:t>
            </w:r>
          </w:p>
        </w:tc>
        <w:tc>
          <w:tcPr>
            <w:tcW w:type="dxa" w:w="3954"/>
          </w:tcPr>
          <w:p>
            <w:pPr>
              <w:spacing w:after="0"/>
              <w:jc w:val="left"/>
            </w:pPr>
            <w:r>
              <w:rPr>
                <w:sz w:val="19"/>
              </w:rPr>
              <w:t>90 s</w:t>
            </w:r>
          </w:p>
        </w:tc>
        <w:tc>
          <w:tcPr>
            <w:tcW w:type="dxa" w:w="2840"/>
          </w:tcPr>
          <w:p>
            <w:pPr>
              <w:spacing w:after="0"/>
              <w:jc w:val="left"/>
            </w:pPr>
            <w:r>
              <w:rPr>
                <w:sz w:val="19"/>
              </w:rPr>
              <w:t>Primer acceso a cada ruta en desarrollo</w:t>
            </w:r>
          </w:p>
        </w:tc>
      </w:tr>
      <w:tr>
        <w:trPr>
          <w:cantSplit w:val="true"/>
        </w:trPr>
        <w:tc>
          <w:tcPr>
            <w:tcW w:type="dxa" w:w="184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BeforeAll</w:t>
            </w:r>
          </w:p>
        </w:tc>
        <w:tc>
          <w:tcPr>
            <w:tcW w:type="dxa" w:w="395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Verifica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GET /health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GET /login</w:t>
            </w:r>
          </w:p>
        </w:tc>
        <w:tc>
          <w:tcPr>
            <w:tcW w:type="dxa" w:w="2840"/>
          </w:tcPr>
          <w:p>
            <w:pPr>
              <w:spacing w:after="0"/>
              <w:jc w:val="left"/>
            </w:pPr>
            <w:r>
              <w:rPr>
                <w:sz w:val="19"/>
              </w:rPr>
              <w:t>Falla en segundos con un mensaje claro si el sistema no está arriba</w:t>
            </w:r>
          </w:p>
        </w:tc>
      </w:tr>
      <w:tr>
        <w:trPr>
          <w:cantSplit w:val="true"/>
        </w:trPr>
        <w:tc>
          <w:tcPr>
            <w:tcW w:type="dxa" w:w="1846"/>
          </w:tcPr>
          <w:p>
            <w:pPr>
              <w:spacing w:after="0"/>
              <w:jc w:val="left"/>
            </w:pPr>
            <w:r>
              <w:rPr>
                <w:sz w:val="19"/>
              </w:rPr>
              <w:t>Equipo de reporte</w:t>
            </w:r>
          </w:p>
        </w:tc>
        <w:tc>
          <w:tcPr>
            <w:tcW w:type="dxa" w:w="395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Consola + HTML +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Photographer</w:t>
            </w:r>
            <w:r>
              <w:rPr>
                <w:sz w:val="19"/>
              </w:rPr>
              <w:t xml:space="preserve"> (fallos, o todas las interacciones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E2E_PHOTOS=all</w:t>
            </w:r>
            <w:r>
              <w:rPr>
                <w:sz w:val="19"/>
              </w:rPr>
              <w:t>)</w:t>
            </w:r>
          </w:p>
        </w:tc>
        <w:tc>
          <w:tcPr>
            <w:tcW w:type="dxa" w:w="2840"/>
          </w:tcPr>
          <w:p>
            <w:pPr>
              <w:spacing w:after="0"/>
              <w:jc w:val="left"/>
            </w:pPr>
            <w:r>
              <w:rPr>
                <w:sz w:val="19"/>
              </w:rPr>
              <w:t>Evidencia navegable</w:t>
            </w:r>
          </w:p>
        </w:tc>
      </w:tr>
    </w:tbl>
    <w:p>
      <w:pPr>
        <w:spacing w:after="40"/>
      </w:pPr>
    </w:p>
    <w:p>
      <w:r>
        <w:rPr/>
        <w:t xml:space="preserve">Variables de entorno: </w:t>
      </w:r>
      <w:r>
        <w:rPr>
          <w:rFonts w:ascii="Consolas" w:hAnsi="Consolas"/>
          <w:b w:val="0"/>
          <w:color w:val="8B1E3F"/>
          <w:sz w:val="19"/>
        </w:rPr>
        <w:t>E2E_API_URL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E2E_WEB_URL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HEADLESS=false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SERENITY_API_ONLY=true</w:t>
      </w:r>
      <w:r>
        <w:rPr/>
        <w:t xml:space="preserve"> (no abre navegador) y </w:t>
      </w:r>
      <w:r>
        <w:rPr>
          <w:rFonts w:ascii="Consolas" w:hAnsi="Consolas"/>
          <w:b w:val="0"/>
          <w:color w:val="8B1E3F"/>
          <w:sz w:val="19"/>
        </w:rPr>
        <w:t>E2E_PHOTOS=all</w:t>
      </w:r>
      <w:r>
        <w:rPr/>
        <w:t>.</w:t>
      </w:r>
    </w:p>
    <w:p>
      <w:pPr>
        <w:pStyle w:val="Heading2"/>
      </w:pPr>
      <w:r>
        <w:rPr/>
        <w:t>5.4 Ciclo de vida de un escenario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onsolas" w:hAnsi="Consolas"/>
          <w:b w:val="0"/>
          <w:color w:val="8B1E3F"/>
          <w:sz w:val="19"/>
        </w:rPr>
        <w:t>BeforeAll</w:t>
      </w:r>
      <w:r>
        <w:rPr/>
        <w:t>: comprueba que backend y frontend respondan, abre Chromium y configura el elenco.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onsolas" w:hAnsi="Consolas"/>
          <w:b w:val="0"/>
          <w:color w:val="8B1E3F"/>
          <w:sz w:val="19"/>
        </w:rPr>
        <w:t>Background</w:t>
      </w:r>
      <w:r>
        <w:rPr/>
        <w:t>: el actor se registra por API, abre una cuenta de ahorros y deposita el saldo inicial.</w:t>
      </w:r>
    </w:p>
    <w:p>
      <w:pPr>
        <w:pStyle w:val="ListNumber"/>
        <w:numPr>
          <w:ilvl w:val="0"/>
          <w:numId w:val="11"/>
        </w:numPr>
        <w:spacing w:after="60"/>
      </w:pPr>
      <w:r>
        <w:rPr/>
        <w:t xml:space="preserve">Pasos </w:t>
      </w:r>
      <w:r>
        <w:rPr>
          <w:rFonts w:ascii="Consolas" w:hAnsi="Consolas"/>
          <w:b w:val="0"/>
          <w:color w:val="8B1E3F"/>
          <w:sz w:val="19"/>
        </w:rPr>
        <w:t>Given</w:t>
      </w:r>
      <w:r>
        <w:rPr/>
        <w:t>: datos adicionales por API (bolsillos) y, en escenarios web, inicio de sesión por el formulario.</w:t>
      </w:r>
    </w:p>
    <w:p>
      <w:pPr>
        <w:pStyle w:val="ListNumber"/>
        <w:numPr>
          <w:ilvl w:val="0"/>
          <w:numId w:val="11"/>
        </w:numPr>
        <w:spacing w:after="60"/>
      </w:pPr>
      <w:r>
        <w:rPr/>
        <w:t xml:space="preserve">Pasos </w:t>
      </w:r>
      <w:r>
        <w:rPr>
          <w:rFonts w:ascii="Consolas" w:hAnsi="Consolas"/>
          <w:b w:val="0"/>
          <w:color w:val="8B1E3F"/>
          <w:sz w:val="19"/>
        </w:rPr>
        <w:t>When</w:t>
      </w:r>
      <w:r>
        <w:rPr/>
        <w:t>: la acción bajo prueba, por API o por pantalla.</w:t>
      </w:r>
    </w:p>
    <w:p>
      <w:pPr>
        <w:pStyle w:val="ListNumber"/>
        <w:numPr>
          <w:ilvl w:val="0"/>
          <w:numId w:val="11"/>
        </w:numPr>
        <w:spacing w:after="60"/>
      </w:pPr>
      <w:r>
        <w:rPr/>
        <w:t xml:space="preserve">Pasos </w:t>
      </w:r>
      <w:r>
        <w:rPr>
          <w:rFonts w:ascii="Consolas" w:hAnsi="Consolas"/>
          <w:b w:val="0"/>
          <w:color w:val="8B1E3F"/>
          <w:sz w:val="19"/>
        </w:rPr>
        <w:t>Then</w:t>
      </w:r>
      <w:r>
        <w:rPr/>
        <w:t xml:space="preserve">: verificación del contrato HTTP, de la pantalla y del </w:t>
      </w:r>
      <w:r>
        <w:rPr>
          <w:b/>
        </w:rPr>
        <w:t>estado real</w:t>
      </w:r>
      <w:r>
        <w:rPr/>
        <w:t xml:space="preserve"> del backend.</w:t>
      </w:r>
    </w:p>
    <w:p>
      <w:pPr>
        <w:pStyle w:val="ListNumber"/>
        <w:numPr>
          <w:ilvl w:val="0"/>
          <w:numId w:val="11"/>
        </w:numPr>
        <w:spacing w:after="60"/>
      </w:pPr>
      <w:r>
        <w:rPr/>
        <w:t>Al terminar, Serenity/JS descarta los actores y cierra sus contextos de navegador; el reporte recibe cada paso, cada petición HTTP y las capturas.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6. Estrategia de datos de prueba</w:t>
      </w:r>
    </w:p>
    <w:p>
      <w:pPr>
        <w:pStyle w:val="Heading2"/>
      </w:pPr>
      <w:r>
        <w:rPr/>
        <w:t>6.1 Autoaprovisionamiento por escenario</w:t>
      </w:r>
    </w:p>
    <w:p>
      <w:r>
        <w:rPr/>
        <w:t xml:space="preserve">Cada escenario </w:t>
      </w:r>
      <w:r>
        <w:rPr>
          <w:b/>
        </w:rPr>
        <w:t>crea su propio cliente</w:t>
      </w:r>
      <w:r>
        <w:rPr/>
        <w:t xml:space="preserve"> desde cero (</w:t>
      </w:r>
      <w:r>
        <w:rPr>
          <w:rFonts w:ascii="Consolas" w:hAnsi="Consolas"/>
          <w:b w:val="0"/>
          <w:color w:val="8B1E3F"/>
          <w:sz w:val="19"/>
        </w:rPr>
        <w:t>BecomeClient</w:t>
      </w:r>
      <w:r>
        <w:rPr/>
        <w:t>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3477"/>
        <w:gridCol w:w="2992"/>
      </w:tblGrid>
      <w:tr>
        <w:trPr>
          <w:cantSplit w:val="true"/>
          <w:tblHeader w:val="true"/>
        </w:trPr>
        <w:tc>
          <w:tcPr>
            <w:tcW w:type="dxa" w:w="217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type="dxa" w:w="347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Petición</w:t>
            </w:r>
          </w:p>
        </w:tc>
        <w:tc>
          <w:tcPr>
            <w:tcW w:type="dxa" w:w="299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 anotado</w:t>
            </w:r>
          </w:p>
        </w:tc>
      </w:tr>
      <w:tr>
        <w:trPr>
          <w:cantSplit w:val="true"/>
        </w:trPr>
        <w:tc>
          <w:tcPr>
            <w:tcW w:type="dxa" w:w="2171"/>
          </w:tcPr>
          <w:p>
            <w:pPr>
              <w:spacing w:after="0"/>
              <w:jc w:val="left"/>
            </w:pPr>
            <w:r>
              <w:rPr>
                <w:sz w:val="19"/>
              </w:rPr>
              <w:t>Registro sin 2FA</w:t>
            </w:r>
          </w:p>
        </w:tc>
        <w:tc>
          <w:tcPr>
            <w:tcW w:type="dxa" w:w="347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/auth/register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>
              <w:rPr>
                <w:sz w:val="19"/>
              </w:rPr>
              <w:t>Token de sesión (fuera del Notepad)</w:t>
            </w:r>
          </w:p>
        </w:tc>
      </w:tr>
      <w:tr>
        <w:trPr>
          <w:cantSplit w:val="true"/>
        </w:trPr>
        <w:tc>
          <w:tcPr>
            <w:tcW w:type="dxa" w:w="2171"/>
          </w:tcPr>
          <w:p>
            <w:pPr>
              <w:spacing w:after="0"/>
              <w:jc w:val="left"/>
            </w:pPr>
            <w:r>
              <w:rPr>
                <w:sz w:val="19"/>
              </w:rPr>
              <w:t>Cuenta de ahorros</w:t>
            </w:r>
          </w:p>
        </w:tc>
        <w:tc>
          <w:tcPr>
            <w:tcW w:type="dxa" w:w="347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/accounts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{ type: 'AHORROS' }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accountId</w:t>
            </w:r>
          </w:p>
        </w:tc>
      </w:tr>
      <w:tr>
        <w:trPr>
          <w:cantSplit w:val="true"/>
        </w:trPr>
        <w:tc>
          <w:tcPr>
            <w:tcW w:type="dxa" w:w="2171"/>
          </w:tcPr>
          <w:p>
            <w:pPr>
              <w:spacing w:after="0"/>
              <w:jc w:val="left"/>
            </w:pPr>
            <w:r>
              <w:rPr>
                <w:sz w:val="19"/>
              </w:rPr>
              <w:t>Saldo inicial (si &gt; 0)</w:t>
            </w:r>
          </w:p>
        </w:tc>
        <w:tc>
          <w:tcPr>
            <w:tcW w:type="dxa" w:w="347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/accounts/:id/deposit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/>
        <w:t>Los datos son únicos por corrida (</w:t>
      </w:r>
      <w:r>
        <w:rPr>
          <w:rFonts w:ascii="Consolas" w:hAnsi="Consolas"/>
          <w:b w:val="0"/>
          <w:color w:val="8B1E3F"/>
          <w:sz w:val="19"/>
        </w:rPr>
        <w:t>e2e.&lt;marca-de-tiempo&gt;&lt;aleatorio&gt;@fubanking.test</w:t>
      </w:r>
      <w:r>
        <w:rPr/>
        <w:t xml:space="preserve">, documento </w:t>
      </w:r>
      <w:r>
        <w:rPr>
          <w:rFonts w:ascii="Consolas" w:hAnsi="Consolas"/>
          <w:b w:val="0"/>
          <w:color w:val="8B1E3F"/>
          <w:sz w:val="19"/>
        </w:rPr>
        <w:t>E2E…</w:t>
      </w:r>
      <w:r>
        <w:rPr/>
        <w:t>, contraseña aleatoria que cumple la política). Ventajas:</w:t>
      </w:r>
    </w:p>
    <w:p>
      <w:pPr>
        <w:pStyle w:val="ListBullet"/>
        <w:spacing w:after="60"/>
      </w:pPr>
      <w:r>
        <w:rPr>
          <w:b/>
        </w:rPr>
        <w:t>Independencia y repetibilidad (FIRST).</w:t>
      </w:r>
      <w:r>
        <w:rPr/>
        <w:t xml:space="preserve"> Ningún escenario depende de otro, del orden de ejecución ni de datos sembrados a mano; se puede ejecutar uno solo o todos.</w:t>
      </w:r>
    </w:p>
    <w:p>
      <w:pPr>
        <w:pStyle w:val="ListBullet"/>
        <w:spacing w:after="60"/>
      </w:pPr>
      <w:r>
        <w:rPr>
          <w:b/>
        </w:rPr>
        <w:t>Saldos conocidos.</w:t>
      </w:r>
      <w:r>
        <w:rPr/>
        <w:t xml:space="preserve"> Cada aserción sobre dinero parte de un valor exacto.</w:t>
      </w:r>
    </w:p>
    <w:p>
      <w:pPr>
        <w:pStyle w:val="ListBullet"/>
        <w:spacing w:after="60"/>
      </w:pPr>
      <w:r>
        <w:rPr>
          <w:b/>
        </w:rPr>
        <w:t>Sin colisiones</w:t>
      </w:r>
      <w:r>
        <w:rPr/>
        <w:t xml:space="preserve"> entre ejecuciones ni entre integrantes que corran la suite en paralelo.</w:t>
      </w:r>
    </w:p>
    <w:p>
      <w:r>
        <w:rPr/>
        <w:t xml:space="preserve">El costo es que cada corrida deja ≈ 40 usuarios de prueba en Supabase, identificables por el dominio reservado </w:t>
      </w:r>
      <w:r>
        <w:rPr>
          <w:rFonts w:ascii="Consolas" w:hAnsi="Consolas"/>
          <w:b w:val="0"/>
          <w:color w:val="8B1E3F"/>
          <w:sz w:val="19"/>
        </w:rPr>
        <w:t>.test</w:t>
      </w:r>
      <w:r>
        <w:rPr/>
        <w:t xml:space="preserve"> y el prefijo </w:t>
      </w:r>
      <w:r>
        <w:rPr>
          <w:rFonts w:ascii="Consolas" w:hAnsi="Consolas"/>
          <w:b w:val="0"/>
          <w:color w:val="8B1E3F"/>
          <w:sz w:val="19"/>
        </w:rPr>
        <w:t>e2e.</w:t>
      </w:r>
      <w:r>
        <w:rPr/>
        <w:t xml:space="preserve"> (sección 14).</w:t>
      </w:r>
    </w:p>
    <w:p>
      <w:pPr>
        <w:pStyle w:val="Heading2"/>
      </w:pPr>
      <w:r>
        <w:rPr/>
        <w:t>6.2 Memoria del actor y referencias por nombre</w:t>
      </w:r>
    </w:p>
    <w:p>
      <w:r>
        <w:rPr/>
        <w:t xml:space="preserve">El </w:t>
      </w:r>
      <w:r>
        <w:rPr>
          <w:rFonts w:ascii="Consolas" w:hAnsi="Consolas"/>
          <w:b w:val="0"/>
          <w:color w:val="8B1E3F"/>
          <w:sz w:val="19"/>
        </w:rPr>
        <w:t>Notepad</w:t>
      </w:r>
      <w:r>
        <w:rPr/>
        <w:t xml:space="preserve"> guarda </w:t>
      </w:r>
      <w:r>
        <w:rPr>
          <w:rFonts w:ascii="Consolas" w:hAnsi="Consolas"/>
          <w:b w:val="0"/>
          <w:color w:val="8B1E3F"/>
          <w:sz w:val="19"/>
        </w:rPr>
        <w:t>email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accountId</w:t>
      </w:r>
      <w:r>
        <w:rPr/>
        <w:t xml:space="preserve"> y un mapa </w:t>
      </w:r>
      <w:r>
        <w:rPr>
          <w:rFonts w:ascii="Consolas" w:hAnsi="Consolas"/>
          <w:b w:val="0"/>
          <w:color w:val="8B1E3F"/>
          <w:sz w:val="19"/>
        </w:rPr>
        <w:t>nombre → id</w:t>
      </w:r>
      <w:r>
        <w:rPr/>
        <w:t xml:space="preserve"> de los bolsillos que el actor creó. Las tareas lo actualizan al renombrar o eliminar, y solo cuando la respuesta fue exitosa. Así los escenarios se escriben en el lenguaje del cliente ("el bolsillo </w:t>
      </w:r>
      <w:r>
        <w:rPr>
          <w:i/>
        </w:rPr>
        <w:t>Vacaciones</w:t>
      </w:r>
      <w:r>
        <w:rPr/>
        <w:t>") y no con UUID.</w:t>
      </w:r>
    </w:p>
    <w:p>
      <w:pPr>
        <w:pStyle w:val="Heading2"/>
      </w:pPr>
      <w:r>
        <w:rPr/>
        <w:t>6.3 Credenciales fuera del reporte</w:t>
      </w:r>
    </w:p>
    <w:p>
      <w:r>
        <w:rPr/>
        <w:t xml:space="preserve">El reporte de Serenity/JS imprime el contenido del Notepad y adjunta el cuerpo de cada petición </w:t>
      </w:r>
      <w:r>
        <w:rPr>
          <w:rFonts w:ascii="Consolas" w:hAnsi="Consolas"/>
          <w:b w:val="0"/>
          <w:color w:val="8B1E3F"/>
          <w:sz w:val="19"/>
        </w:rPr>
        <w:t>Send</w:t>
      </w:r>
      <w:r>
        <w:rPr/>
        <w:t>. En una primera versión la contraseña y el JWT quedaban visibles en la evidencia. Se corrigió con tres medidas:</w:t>
      </w:r>
    </w:p>
    <w:p>
      <w:pPr>
        <w:pStyle w:val="ListNumber"/>
        <w:numPr>
          <w:ilvl w:val="0"/>
          <w:numId w:val="12"/>
        </w:numPr>
        <w:spacing w:after="60"/>
      </w:pPr>
      <w:r>
        <w:rPr/>
        <w:t>La contraseña y el token se guardan en un almacén privado (</w:t>
      </w:r>
      <w:r>
        <w:rPr>
          <w:rFonts w:ascii="Consolas" w:hAnsi="Consolas"/>
          <w:b w:val="0"/>
          <w:color w:val="8B1E3F"/>
          <w:sz w:val="19"/>
        </w:rPr>
        <w:t>WeakMap</w:t>
      </w:r>
      <w:r>
        <w:rPr/>
        <w:t xml:space="preserve"> por actor, </w:t>
      </w:r>
      <w:r>
        <w:rPr>
          <w:rFonts w:ascii="Consolas" w:hAnsi="Consolas"/>
          <w:b w:val="0"/>
          <w:color w:val="8B1E3F"/>
          <w:sz w:val="19"/>
        </w:rPr>
        <w:t>test/support/Credentials.ts</w:t>
      </w:r>
      <w:r>
        <w:rPr/>
        <w:t>), no en el Notepad.</w:t>
      </w:r>
    </w:p>
    <w:p>
      <w:pPr>
        <w:pStyle w:val="ListNumber"/>
        <w:numPr>
          <w:ilvl w:val="0"/>
          <w:numId w:val="12"/>
        </w:numPr>
        <w:spacing w:after="60"/>
      </w:pPr>
      <w:r>
        <w:rPr/>
        <w:t xml:space="preserve">El registro se envía con </w:t>
      </w:r>
      <w:r>
        <w:rPr>
          <w:rFonts w:ascii="Consolas" w:hAnsi="Consolas"/>
          <w:b w:val="0"/>
          <w:color w:val="8B1E3F"/>
          <w:sz w:val="19"/>
        </w:rPr>
        <w:t>CallAnApi.request()</w:t>
      </w:r>
      <w:r>
        <w:rPr/>
        <w:t xml:space="preserve"> dentro de una </w:t>
      </w:r>
      <w:r>
        <w:rPr>
          <w:i/>
        </w:rPr>
        <w:t>Interaction</w:t>
      </w:r>
      <w:r>
        <w:rPr/>
        <w:t xml:space="preserve">, no con </w:t>
      </w:r>
      <w:r>
        <w:rPr>
          <w:rFonts w:ascii="Consolas" w:hAnsi="Consolas"/>
          <w:b w:val="0"/>
          <w:color w:val="8B1E3F"/>
          <w:sz w:val="19"/>
        </w:rPr>
        <w:t>Send</w:t>
      </w:r>
      <w:r>
        <w:rPr/>
        <w:t>, para que el cuerpo (contraseña) y la respuesta (token) no se adjunten al reporte.</w:t>
      </w:r>
    </w:p>
    <w:p>
      <w:pPr>
        <w:pStyle w:val="ListNumber"/>
        <w:numPr>
          <w:ilvl w:val="0"/>
          <w:numId w:val="12"/>
        </w:numPr>
        <w:spacing w:after="60"/>
      </w:pPr>
      <w:r>
        <w:rPr/>
        <w:t xml:space="preserve">La contraseña se escribe en el formulario con </w:t>
      </w:r>
      <w:r>
        <w:rPr>
          <w:rFonts w:ascii="Consolas" w:hAnsi="Consolas"/>
          <w:b w:val="0"/>
          <w:color w:val="8B1E3F"/>
          <w:sz w:val="19"/>
        </w:rPr>
        <w:t>Masked.valueOf(…)</w:t>
      </w:r>
      <w:r>
        <w:rPr/>
        <w:t xml:space="preserve">: el reporte muestra </w:t>
      </w:r>
      <w:r>
        <w:rPr>
          <w:rFonts w:ascii="Consolas" w:hAnsi="Consolas"/>
          <w:b w:val="0"/>
          <w:color w:val="8B1E3F"/>
          <w:sz w:val="19"/>
        </w:rPr>
        <w:t>[a masked value]</w:t>
      </w:r>
      <w:r>
        <w:rPr/>
        <w:t>.</w:t>
      </w:r>
    </w:p>
    <w:p>
      <w:pPr>
        <w:pStyle w:val="Heading2"/>
      </w:pPr>
      <w:r>
        <w:rPr/>
        <w:t>6.4 Varios actores en un escenario</w:t>
      </w:r>
    </w:p>
    <w:p>
      <w:r>
        <w:rPr/>
        <w:t xml:space="preserve">Las pruebas de autorización necesitan un segundo cliente (Bruno o Diana). Cada actor tiene su propia sesión, su propio token y su propio Notepad. El helper </w:t>
      </w:r>
      <w:r>
        <w:rPr>
          <w:rFonts w:ascii="Consolas" w:hAnsi="Consolas"/>
          <w:b w:val="0"/>
          <w:color w:val="8B1E3F"/>
          <w:sz w:val="19"/>
        </w:rPr>
        <w:t>noteOf(dueño, nota, solicitante)</w:t>
      </w:r>
      <w:r>
        <w:rPr/>
        <w:t xml:space="preserve"> lee la cuenta o el bolsillo del otro actor y </w:t>
      </w:r>
      <w:r>
        <w:rPr>
          <w:b/>
        </w:rPr>
        <w:t>devuelve el foco</w:t>
      </w:r>
      <w:r>
        <w:rPr/>
        <w:t xml:space="preserve"> al que actúa, para que los pasos siguientes ("la respuesta HTTP tiene estado 403") se evalúen sobre la petición correcta.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7. Diseño de casos de prueba</w:t>
      </w:r>
    </w:p>
    <w:p>
      <w:pPr>
        <w:pStyle w:val="Heading2"/>
      </w:pPr>
      <w:r>
        <w:rPr/>
        <w:t>7.1 Técnicas aplicadas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2"/>
        <w:gridCol w:w="5008"/>
      </w:tblGrid>
      <w:tr>
        <w:trPr>
          <w:cantSplit w:val="true"/>
          <w:tblHeader w:val="true"/>
        </w:trPr>
        <w:tc>
          <w:tcPr>
            <w:tcW w:type="dxa" w:w="363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500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Dónde</w:t>
            </w:r>
          </w:p>
        </w:tc>
      </w:tr>
      <w:tr>
        <w:trPr>
          <w:cantSplit w:val="true"/>
        </w:trPr>
        <w:tc>
          <w:tcPr>
            <w:tcW w:type="dxa" w:w="3632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de equivalencia</w:t>
            </w:r>
          </w:p>
        </w:tc>
        <w:tc>
          <w:tcPr>
            <w:tcW w:type="dxa" w:w="5008"/>
          </w:tcPr>
          <w:p>
            <w:pPr>
              <w:spacing w:after="0"/>
              <w:jc w:val="left"/>
            </w:pPr>
            <w:r>
              <w:rPr>
                <w:sz w:val="19"/>
              </w:rPr>
              <w:t>Montos válidos / cero / negativos / no numéricos; nombres válidos / vacíos</w:t>
            </w:r>
          </w:p>
        </w:tc>
      </w:tr>
      <w:tr>
        <w:trPr>
          <w:cantSplit w:val="true"/>
        </w:trPr>
        <w:tc>
          <w:tcPr>
            <w:tcW w:type="dxa" w:w="3632"/>
          </w:tcPr>
          <w:p>
            <w:pPr>
              <w:spacing w:after="0"/>
              <w:jc w:val="left"/>
            </w:pPr>
            <w:r>
              <w:rPr>
                <w:sz w:val="19"/>
              </w:rPr>
              <w:t>Valores límite</w:t>
            </w:r>
          </w:p>
        </w:tc>
        <w:tc>
          <w:tcPr>
            <w:tcW w:type="dxa" w:w="5008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 por el saldo exacto (500000) y por saldo + 1 (500001); transferir todo el bolsillo (100000) y 100001; ajustar a 500001</w:t>
            </w:r>
          </w:p>
        </w:tc>
      </w:tr>
      <w:tr>
        <w:trPr>
          <w:cantSplit w:val="true"/>
        </w:trPr>
        <w:tc>
          <w:tcPr>
            <w:tcW w:type="dxa" w:w="3632"/>
          </w:tcPr>
          <w:p>
            <w:pPr>
              <w:spacing w:after="0"/>
              <w:jc w:val="left"/>
            </w:pPr>
            <w:r>
              <w:rPr>
                <w:sz w:val="19"/>
              </w:rPr>
              <w:t>Casos negativos con contrato de error</w:t>
            </w:r>
          </w:p>
        </w:tc>
        <w:tc>
          <w:tcPr>
            <w:tcW w:type="dxa" w:w="500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Código HTTP </w:t>
            </w:r>
            <w:r>
              <w:rPr>
                <w:b/>
                <w:sz w:val="19"/>
              </w:rPr>
              <w:t>y</w:t>
            </w:r>
            <w:r>
              <w:rPr>
                <w:sz w:val="19"/>
              </w:rPr>
              <w:t xml:space="preserve"> código de error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INSUFFICIENT_*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INVALID_*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FORBIDDEN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3632"/>
          </w:tcPr>
          <w:p>
            <w:pPr>
              <w:spacing w:after="0"/>
              <w:jc w:val="left"/>
            </w:pPr>
            <w:r>
              <w:rPr>
                <w:sz w:val="19"/>
              </w:rPr>
              <w:t>Verificación de efectos laterales</w:t>
            </w:r>
          </w:p>
        </w:tc>
        <w:tc>
          <w:tcPr>
            <w:tcW w:type="dxa" w:w="5008"/>
          </w:tcPr>
          <w:p>
            <w:pPr>
              <w:spacing w:after="0"/>
              <w:jc w:val="left"/>
            </w:pPr>
            <w:r>
              <w:rPr>
                <w:sz w:val="19"/>
              </w:rPr>
              <w:t>Después de cada operación (exitosa o rechazada) se consulta el saldo real de la cuenta</w:t>
            </w:r>
          </w:p>
        </w:tc>
      </w:tr>
      <w:tr>
        <w:trPr>
          <w:cantSplit w:val="true"/>
        </w:trPr>
        <w:tc>
          <w:tcPr>
            <w:tcW w:type="dxa" w:w="3632"/>
          </w:tcPr>
          <w:p>
            <w:pPr>
              <w:spacing w:after="0"/>
              <w:jc w:val="left"/>
            </w:pPr>
            <w:r>
              <w:rPr>
                <w:sz w:val="19"/>
              </w:rPr>
              <w:t>Autorización a nivel de objeto (BOLA/IDOR)</w:t>
            </w:r>
          </w:p>
        </w:tc>
        <w:tc>
          <w:tcPr>
            <w:tcW w:type="dxa" w:w="5008"/>
          </w:tcPr>
          <w:p>
            <w:pPr>
              <w:spacing w:after="0"/>
              <w:jc w:val="left"/>
            </w:pPr>
            <w:r>
              <w:rPr>
                <w:sz w:val="19"/>
              </w:rPr>
              <w:t>Consultar, eliminar y depositar sobre recursos de otro cliente</w:t>
            </w:r>
          </w:p>
        </w:tc>
      </w:tr>
      <w:tr>
        <w:trPr>
          <w:cantSplit w:val="true"/>
        </w:trPr>
        <w:tc>
          <w:tcPr>
            <w:tcW w:type="dxa" w:w="3632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Type juggling</w:t>
            </w:r>
          </w:p>
        </w:tc>
        <w:tc>
          <w:tcPr>
            <w:tcW w:type="dxa" w:w="500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true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"abc"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null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[1000]</w:t>
            </w:r>
            <w:r>
              <w:rPr>
                <w:sz w:val="19"/>
              </w:rPr>
              <w:t xml:space="preserve"> como monto de depósito</w:t>
            </w:r>
          </w:p>
        </w:tc>
      </w:tr>
      <w:tr>
        <w:trPr>
          <w:cantSplit w:val="true"/>
        </w:trPr>
        <w:tc>
          <w:tcPr>
            <w:tcW w:type="dxa" w:w="3632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Blended testing</w:t>
            </w:r>
          </w:p>
        </w:tc>
        <w:tc>
          <w:tcPr>
            <w:tcW w:type="dxa" w:w="5008"/>
          </w:tcPr>
          <w:p>
            <w:pPr>
              <w:spacing w:after="0"/>
              <w:jc w:val="left"/>
            </w:pPr>
            <w:r>
              <w:rPr>
                <w:sz w:val="19"/>
              </w:rPr>
              <w:t>Datos por API → verificación en pantalla, y acción en pantalla → verificación por API</w:t>
            </w:r>
          </w:p>
        </w:tc>
      </w:tr>
      <w:tr>
        <w:trPr>
          <w:cantSplit w:val="true"/>
        </w:trPr>
        <w:tc>
          <w:tcPr>
            <w:tcW w:type="dxa" w:w="3632"/>
          </w:tcPr>
          <w:p>
            <w:pPr>
              <w:spacing w:after="0"/>
              <w:jc w:val="left"/>
            </w:pPr>
            <w:r>
              <w:rPr>
                <w:sz w:val="19"/>
              </w:rPr>
              <w:t>Recorrido de usuario</w:t>
            </w:r>
          </w:p>
        </w:tc>
        <w:tc>
          <w:tcPr>
            <w:tcW w:type="dxa" w:w="5008"/>
          </w:tcPr>
          <w:p>
            <w:pPr>
              <w:spacing w:after="0"/>
              <w:jc w:val="left"/>
            </w:pPr>
            <w:r>
              <w:rPr>
                <w:sz w:val="19"/>
              </w:rPr>
              <w:t>Abonar en Cuentas y apartar en un bolsillo nuevo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7.2 Catálogo de escenarios</w:t>
      </w:r>
    </w:p>
    <w:p>
      <w:r>
        <w:rPr>
          <w:b/>
        </w:rPr>
        <w:t>Crear bolsillo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crear_bolsillo.feature</w:t>
      </w:r>
      <w:r>
        <w:rPr/>
        <w:t>, saldo inicial 500000)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6"/>
        <w:gridCol w:w="1529"/>
        <w:gridCol w:w="839"/>
        <w:gridCol w:w="1452"/>
        <w:gridCol w:w="3594"/>
      </w:tblGrid>
      <w:tr>
        <w:trPr>
          <w:cantSplit w:val="true"/>
          <w:tblHeader w:val="true"/>
        </w:trPr>
        <w:tc>
          <w:tcPr>
            <w:tcW w:type="dxa" w:w="122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52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type="dxa" w:w="83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145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359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sz w:val="19"/>
              </w:rPr>
              <w:t>E2E-CR-01</w:t>
            </w:r>
          </w:p>
        </w:tc>
        <w:tc>
          <w:tcPr>
            <w:tcW w:type="dxa" w:w="1529"/>
          </w:tcPr>
          <w:p>
            <w:pPr>
              <w:spacing w:after="0"/>
              <w:jc w:val="left"/>
            </w:pPr>
            <w:r>
              <w:rPr>
                <w:sz w:val="19"/>
              </w:rPr>
              <w:t>Crear un bolsillo descuenta el monto del saldo</w:t>
            </w:r>
          </w:p>
        </w:tc>
        <w:tc>
          <w:tcPr>
            <w:tcW w:type="dxa" w:w="839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smoke</w:t>
            </w:r>
          </w:p>
        </w:tc>
        <w:tc>
          <w:tcPr>
            <w:tcW w:type="dxa" w:w="1452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válida</w:t>
            </w:r>
          </w:p>
        </w:tc>
        <w:tc>
          <w:tcPr>
            <w:tcW w:type="dxa" w:w="3594"/>
          </w:tcPr>
          <w:p>
            <w:pPr>
              <w:spacing w:after="0"/>
              <w:jc w:val="left"/>
            </w:pPr>
            <w:r>
              <w:rPr>
                <w:sz w:val="19"/>
              </w:rPr>
              <w:t>201 · saldo 400000</w:t>
            </w:r>
          </w:p>
        </w:tc>
      </w:tr>
      <w:tr>
        <w:trPr>
          <w:cantSplit w:val="true"/>
        </w:trPr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sz w:val="19"/>
              </w:rPr>
              <w:t>E2E-CR-02</w:t>
            </w:r>
          </w:p>
        </w:tc>
        <w:tc>
          <w:tcPr>
            <w:tcW w:type="dxa" w:w="1529"/>
          </w:tcPr>
          <w:p>
            <w:pPr>
              <w:spacing w:after="0"/>
              <w:jc w:val="left"/>
            </w:pPr>
            <w:r>
              <w:rPr>
                <w:sz w:val="19"/>
              </w:rPr>
              <w:t>Se puede apartar todo el saldo disponible</w:t>
            </w:r>
          </w:p>
        </w:tc>
        <w:tc>
          <w:tcPr>
            <w:tcW w:type="dxa" w:w="839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452"/>
          </w:tcPr>
          <w:p>
            <w:pPr>
              <w:spacing w:after="0"/>
              <w:jc w:val="left"/>
            </w:pPr>
            <w:r>
              <w:rPr>
                <w:sz w:val="19"/>
              </w:rPr>
              <w:t>Valor límite</w:t>
            </w:r>
          </w:p>
        </w:tc>
        <w:tc>
          <w:tcPr>
            <w:tcW w:type="dxa" w:w="3594"/>
          </w:tcPr>
          <w:p>
            <w:pPr>
              <w:spacing w:after="0"/>
              <w:jc w:val="left"/>
            </w:pPr>
            <w:r>
              <w:rPr>
                <w:sz w:val="19"/>
              </w:rPr>
              <w:t>201 · saldo 0</w:t>
            </w:r>
          </w:p>
        </w:tc>
      </w:tr>
      <w:tr>
        <w:trPr>
          <w:cantSplit w:val="true"/>
        </w:trPr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sz w:val="19"/>
              </w:rPr>
              <w:t>E2E-CR-03</w:t>
            </w:r>
          </w:p>
        </w:tc>
        <w:tc>
          <w:tcPr>
            <w:tcW w:type="dxa" w:w="1529"/>
          </w:tcPr>
          <w:p>
            <w:pPr>
              <w:spacing w:after="0"/>
              <w:jc w:val="left"/>
            </w:pPr>
            <w:r>
              <w:rPr>
                <w:sz w:val="19"/>
              </w:rPr>
              <w:t>Rechazar un bolsillo con nombre vacío</w:t>
            </w:r>
          </w:p>
        </w:tc>
        <w:tc>
          <w:tcPr>
            <w:tcW w:type="dxa" w:w="839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452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inválida</w:t>
            </w:r>
          </w:p>
        </w:tc>
        <w:tc>
          <w:tcPr>
            <w:tcW w:type="dxa" w:w="359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· saldo intacto</w:t>
            </w:r>
          </w:p>
        </w:tc>
      </w:tr>
      <w:tr>
        <w:trPr>
          <w:cantSplit w:val="true"/>
        </w:trPr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sz w:val="19"/>
              </w:rPr>
              <w:t>E2E-CR-04</w:t>
            </w:r>
          </w:p>
        </w:tc>
        <w:tc>
          <w:tcPr>
            <w:tcW w:type="dxa" w:w="1529"/>
          </w:tcPr>
          <w:p>
            <w:pPr>
              <w:spacing w:after="0"/>
              <w:jc w:val="left"/>
            </w:pPr>
            <w:r>
              <w:rPr>
                <w:sz w:val="19"/>
              </w:rPr>
              <w:t>Rechazar un bolsillo con monto negativo</w:t>
            </w:r>
          </w:p>
        </w:tc>
        <w:tc>
          <w:tcPr>
            <w:tcW w:type="dxa" w:w="839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452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inválida</w:t>
            </w:r>
          </w:p>
        </w:tc>
        <w:tc>
          <w:tcPr>
            <w:tcW w:type="dxa" w:w="359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· saldo intacto</w:t>
            </w:r>
          </w:p>
        </w:tc>
      </w:tr>
      <w:tr>
        <w:trPr>
          <w:cantSplit w:val="true"/>
        </w:trPr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sz w:val="19"/>
              </w:rPr>
              <w:t>E2E-CR-05</w:t>
            </w:r>
          </w:p>
        </w:tc>
        <w:tc>
          <w:tcPr>
            <w:tcW w:type="dxa" w:w="1529"/>
          </w:tcPr>
          <w:p>
            <w:pPr>
              <w:spacing w:after="0"/>
              <w:jc w:val="left"/>
            </w:pPr>
            <w:r>
              <w:rPr>
                <w:sz w:val="19"/>
              </w:rPr>
              <w:t>Rechazar un bolsillo con monto mayor al saldo</w:t>
            </w:r>
          </w:p>
        </w:tc>
        <w:tc>
          <w:tcPr>
            <w:tcW w:type="dxa" w:w="839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452"/>
          </w:tcPr>
          <w:p>
            <w:pPr>
              <w:spacing w:after="0"/>
              <w:jc w:val="left"/>
            </w:pPr>
            <w:r>
              <w:rPr>
                <w:sz w:val="19"/>
              </w:rPr>
              <w:t>Valor límite (saldo + 1)</w:t>
            </w:r>
          </w:p>
        </w:tc>
        <w:tc>
          <w:tcPr>
            <w:tcW w:type="dxa" w:w="359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INSUFFICIENT_AVAILABLE_BALANCE</w:t>
            </w:r>
          </w:p>
        </w:tc>
      </w:tr>
      <w:tr>
        <w:trPr>
          <w:cantSplit w:val="true"/>
        </w:trPr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sz w:val="19"/>
              </w:rPr>
              <w:t>E2E-CR-06</w:t>
            </w:r>
          </w:p>
        </w:tc>
        <w:tc>
          <w:tcPr>
            <w:tcW w:type="dxa" w:w="1529"/>
          </w:tcPr>
          <w:p>
            <w:pPr>
              <w:spacing w:after="0"/>
              <w:jc w:val="left"/>
            </w:pPr>
            <w:r>
              <w:rPr>
                <w:sz w:val="19"/>
              </w:rPr>
              <w:t>Crear un bolsillo desde la pantalla</w:t>
            </w:r>
          </w:p>
        </w:tc>
        <w:tc>
          <w:tcPr>
            <w:tcW w:type="dxa" w:w="839"/>
          </w:tcPr>
          <w:p>
            <w:pPr>
              <w:spacing w:after="0"/>
              <w:jc w:val="left"/>
            </w:pPr>
            <w:r>
              <w:rPr>
                <w:sz w:val="19"/>
              </w:rPr>
              <w:t>Web · smoke</w:t>
            </w:r>
          </w:p>
        </w:tc>
        <w:tc>
          <w:tcPr>
            <w:tcW w:type="dxa" w:w="1452"/>
          </w:tcPr>
          <w:p>
            <w:pPr>
              <w:spacing w:after="0"/>
              <w:jc w:val="left"/>
            </w:pPr>
            <w:r>
              <w:rPr>
                <w:sz w:val="19"/>
              </w:rPr>
              <w:t>Blended (verifica saldo por API)</w:t>
            </w:r>
          </w:p>
        </w:tc>
        <w:tc>
          <w:tcPr>
            <w:tcW w:type="dxa" w:w="3594"/>
          </w:tcPr>
          <w:p>
            <w:pPr>
              <w:spacing w:after="0"/>
              <w:jc w:val="left"/>
            </w:pPr>
            <w:r>
              <w:rPr>
                <w:sz w:val="19"/>
              </w:rPr>
              <w:t>Toast "Bolsillo creado" · tarjeta con 100000 · saldo 400000</w:t>
            </w:r>
          </w:p>
        </w:tc>
      </w:tr>
      <w:tr>
        <w:trPr>
          <w:cantSplit w:val="true"/>
        </w:trPr>
        <w:tc>
          <w:tcPr>
            <w:tcW w:type="dxa" w:w="1226"/>
          </w:tcPr>
          <w:p>
            <w:pPr>
              <w:spacing w:after="0"/>
              <w:jc w:val="left"/>
            </w:pPr>
            <w:r>
              <w:rPr>
                <w:sz w:val="19"/>
              </w:rPr>
              <w:t>E2E-CR-07</w:t>
            </w:r>
          </w:p>
        </w:tc>
        <w:tc>
          <w:tcPr>
            <w:tcW w:type="dxa" w:w="1529"/>
          </w:tcPr>
          <w:p>
            <w:pPr>
              <w:spacing w:after="0"/>
              <w:jc w:val="left"/>
            </w:pPr>
            <w:r>
              <w:rPr>
                <w:sz w:val="19"/>
              </w:rPr>
              <w:t>La pantalla pide el nombre antes de crear</w:t>
            </w:r>
          </w:p>
        </w:tc>
        <w:tc>
          <w:tcPr>
            <w:tcW w:type="dxa" w:w="839"/>
          </w:tcPr>
          <w:p>
            <w:pPr>
              <w:spacing w:after="0"/>
              <w:jc w:val="left"/>
            </w:pPr>
            <w:r>
              <w:rPr>
                <w:sz w:val="19"/>
              </w:rPr>
              <w:t>Web</w:t>
            </w:r>
          </w:p>
        </w:tc>
        <w:tc>
          <w:tcPr>
            <w:tcW w:type="dxa" w:w="1452"/>
          </w:tcPr>
          <w:p>
            <w:pPr>
              <w:spacing w:after="0"/>
              <w:jc w:val="left"/>
            </w:pPr>
            <w:r>
              <w:rPr>
                <w:sz w:val="19"/>
              </w:rPr>
              <w:t>Validación en cliente</w:t>
            </w:r>
          </w:p>
        </w:tc>
        <w:tc>
          <w:tcPr>
            <w:tcW w:type="dxa" w:w="3594"/>
          </w:tcPr>
          <w:p>
            <w:pPr>
              <w:spacing w:after="0"/>
              <w:jc w:val="left"/>
            </w:pPr>
            <w:r>
              <w:rPr>
                <w:sz w:val="19"/>
              </w:rPr>
              <w:t>Toast "Falta información" · saldo intacto</w:t>
            </w:r>
          </w:p>
        </w:tc>
      </w:tr>
    </w:tbl>
    <w:p>
      <w:pPr>
        <w:spacing w:after="40"/>
      </w:pPr>
    </w:p>
    <w:p>
      <w:r>
        <w:rPr>
          <w:b/>
        </w:rPr>
        <w:t>Consultar bolsillos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consultar_bolsillos.feature</w:t>
      </w:r>
      <w:r>
        <w:rPr/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9"/>
        <w:gridCol w:w="2434"/>
        <w:gridCol w:w="1466"/>
        <w:gridCol w:w="1675"/>
        <w:gridCol w:w="1756"/>
      </w:tblGrid>
      <w:tr>
        <w:trPr>
          <w:cantSplit w:val="true"/>
          <w:tblHeader w:val="true"/>
        </w:trPr>
        <w:tc>
          <w:tcPr>
            <w:tcW w:type="dxa" w:w="130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43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type="dxa" w:w="146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167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175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309"/>
          </w:tcPr>
          <w:p>
            <w:pPr>
              <w:spacing w:after="0"/>
              <w:jc w:val="left"/>
            </w:pPr>
            <w:r>
              <w:rPr>
                <w:sz w:val="19"/>
              </w:rPr>
              <w:t>E2E-CO-01</w:t>
            </w:r>
          </w:p>
        </w:tc>
        <w:tc>
          <w:tcPr>
            <w:tcW w:type="dxa" w:w="2434"/>
          </w:tcPr>
          <w:p>
            <w:pPr>
              <w:spacing w:after="0"/>
              <w:jc w:val="left"/>
            </w:pPr>
            <w:r>
              <w:rPr>
                <w:sz w:val="19"/>
              </w:rPr>
              <w:t>Consultar los bolsillos de la cuenta</w:t>
            </w:r>
          </w:p>
        </w:tc>
        <w:tc>
          <w:tcPr>
            <w:tcW w:type="dxa" w:w="1466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smoke</w:t>
            </w:r>
          </w:p>
        </w:tc>
        <w:tc>
          <w:tcPr>
            <w:tcW w:type="dxa" w:w="1675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válida</w:t>
            </w:r>
          </w:p>
        </w:tc>
        <w:tc>
          <w:tcPr>
            <w:tcW w:type="dxa" w:w="1756"/>
          </w:tcPr>
          <w:p>
            <w:pPr>
              <w:spacing w:after="0"/>
              <w:jc w:val="left"/>
            </w:pPr>
            <w:r>
              <w:rPr>
                <w:sz w:val="19"/>
              </w:rPr>
              <w:t>200 · 2 bolsillos</w:t>
            </w:r>
          </w:p>
        </w:tc>
      </w:tr>
      <w:tr>
        <w:trPr>
          <w:cantSplit w:val="true"/>
        </w:trPr>
        <w:tc>
          <w:tcPr>
            <w:tcW w:type="dxa" w:w="1309"/>
          </w:tcPr>
          <w:p>
            <w:pPr>
              <w:spacing w:after="0"/>
              <w:jc w:val="left"/>
            </w:pPr>
            <w:r>
              <w:rPr>
                <w:sz w:val="19"/>
              </w:rPr>
              <w:t>E2E-CO-02</w:t>
            </w:r>
          </w:p>
        </w:tc>
        <w:tc>
          <w:tcPr>
            <w:tcW w:type="dxa" w:w="2434"/>
          </w:tcPr>
          <w:p>
            <w:pPr>
              <w:spacing w:after="0"/>
              <w:jc w:val="left"/>
            </w:pPr>
            <w:r>
              <w:rPr>
                <w:sz w:val="19"/>
              </w:rPr>
              <w:t>Una cuenta sin bolsillos devuelve lista vacía</w:t>
            </w:r>
          </w:p>
        </w:tc>
        <w:tc>
          <w:tcPr>
            <w:tcW w:type="dxa" w:w="1466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675"/>
          </w:tcPr>
          <w:p>
            <w:pPr>
              <w:spacing w:after="0"/>
              <w:jc w:val="left"/>
            </w:pPr>
            <w:r>
              <w:rPr>
                <w:sz w:val="19"/>
              </w:rPr>
              <w:t>Caso borde</w:t>
            </w:r>
          </w:p>
        </w:tc>
        <w:tc>
          <w:tcPr>
            <w:tcW w:type="dxa" w:w="1756"/>
          </w:tcPr>
          <w:p>
            <w:pPr>
              <w:spacing w:after="0"/>
              <w:jc w:val="left"/>
            </w:pPr>
            <w:r>
              <w:rPr>
                <w:sz w:val="19"/>
              </w:rPr>
              <w:t>200 · 0 bolsillos</w:t>
            </w:r>
          </w:p>
        </w:tc>
      </w:tr>
      <w:tr>
        <w:trPr>
          <w:cantSplit w:val="true"/>
        </w:trPr>
        <w:tc>
          <w:tcPr>
            <w:tcW w:type="dxa" w:w="1309"/>
          </w:tcPr>
          <w:p>
            <w:pPr>
              <w:spacing w:after="0"/>
              <w:jc w:val="left"/>
            </w:pPr>
            <w:r>
              <w:rPr>
                <w:sz w:val="19"/>
              </w:rPr>
              <w:t>E2E-CO-03</w:t>
            </w:r>
          </w:p>
        </w:tc>
        <w:tc>
          <w:tcPr>
            <w:tcW w:type="dxa" w:w="2434"/>
          </w:tcPr>
          <w:p>
            <w:pPr>
              <w:spacing w:after="0"/>
              <w:jc w:val="left"/>
            </w:pPr>
            <w:r>
              <w:rPr>
                <w:sz w:val="19"/>
              </w:rPr>
              <w:t>No se pueden consultar los bolsillos de otro cliente</w:t>
            </w:r>
          </w:p>
        </w:tc>
        <w:tc>
          <w:tcPr>
            <w:tcW w:type="dxa" w:w="1466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seguridad</w:t>
            </w:r>
          </w:p>
        </w:tc>
        <w:tc>
          <w:tcPr>
            <w:tcW w:type="dxa" w:w="1675"/>
          </w:tcPr>
          <w:p>
            <w:pPr>
              <w:spacing w:after="0"/>
              <w:jc w:val="left"/>
            </w:pPr>
            <w:r>
              <w:rPr>
                <w:sz w:val="19"/>
              </w:rPr>
              <w:t>BOLA</w:t>
            </w:r>
          </w:p>
        </w:tc>
        <w:tc>
          <w:tcPr>
            <w:tcW w:type="dxa" w:w="175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403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FORBIDDEN</w:t>
            </w:r>
          </w:p>
        </w:tc>
      </w:tr>
      <w:tr>
        <w:trPr>
          <w:cantSplit w:val="true"/>
        </w:trPr>
        <w:tc>
          <w:tcPr>
            <w:tcW w:type="dxa" w:w="1309"/>
          </w:tcPr>
          <w:p>
            <w:pPr>
              <w:spacing w:after="0"/>
              <w:jc w:val="left"/>
            </w:pPr>
            <w:r>
              <w:rPr>
                <w:sz w:val="19"/>
              </w:rPr>
              <w:t>E2E-CO-04</w:t>
            </w:r>
          </w:p>
        </w:tc>
        <w:tc>
          <w:tcPr>
            <w:tcW w:type="dxa" w:w="2434"/>
          </w:tcPr>
          <w:p>
            <w:pPr>
              <w:spacing w:after="0"/>
              <w:jc w:val="left"/>
            </w:pPr>
            <w:r>
              <w:rPr>
                <w:sz w:val="19"/>
              </w:rPr>
              <w:t>Ver en pantalla los bolsillos de la cuenta</w:t>
            </w:r>
          </w:p>
        </w:tc>
        <w:tc>
          <w:tcPr>
            <w:tcW w:type="dxa" w:w="1466"/>
          </w:tcPr>
          <w:p>
            <w:pPr>
              <w:spacing w:after="0"/>
              <w:jc w:val="left"/>
            </w:pPr>
            <w:r>
              <w:rPr>
                <w:sz w:val="19"/>
              </w:rPr>
              <w:t>Web</w:t>
            </w:r>
          </w:p>
        </w:tc>
        <w:tc>
          <w:tcPr>
            <w:tcW w:type="dxa" w:w="1675"/>
          </w:tcPr>
          <w:p>
            <w:pPr>
              <w:spacing w:after="0"/>
              <w:jc w:val="left"/>
            </w:pPr>
            <w:r>
              <w:rPr>
                <w:sz w:val="19"/>
              </w:rPr>
              <w:t>Blended (datos por API)</w:t>
            </w:r>
          </w:p>
        </w:tc>
        <w:tc>
          <w:tcPr>
            <w:tcW w:type="dxa" w:w="1756"/>
          </w:tcPr>
          <w:p>
            <w:pPr>
              <w:spacing w:after="0"/>
              <w:jc w:val="left"/>
            </w:pPr>
            <w:r>
              <w:rPr>
                <w:sz w:val="19"/>
              </w:rPr>
              <w:t>Nombres y montos correctos</w:t>
            </w:r>
          </w:p>
        </w:tc>
      </w:tr>
    </w:tbl>
    <w:p>
      <w:pPr>
        <w:spacing w:after="40"/>
      </w:pPr>
    </w:p>
    <w:p>
      <w:r>
        <w:rPr>
          <w:b/>
        </w:rPr>
        <w:t>Editar bolsillo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editar_bolsillo.feature</w:t>
      </w:r>
      <w:r>
        <w:rPr/>
        <w:t>, bolsillo "Vacaciones" de 100000)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5"/>
        <w:gridCol w:w="1626"/>
        <w:gridCol w:w="862"/>
        <w:gridCol w:w="1328"/>
        <w:gridCol w:w="3589"/>
      </w:tblGrid>
      <w:tr>
        <w:trPr>
          <w:cantSplit w:val="true"/>
          <w:tblHeader w:val="true"/>
        </w:trPr>
        <w:tc>
          <w:tcPr>
            <w:tcW w:type="dxa" w:w="123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62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type="dxa" w:w="86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132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358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235"/>
          </w:tcPr>
          <w:p>
            <w:pPr>
              <w:spacing w:after="0"/>
              <w:jc w:val="left"/>
            </w:pPr>
            <w:r>
              <w:rPr>
                <w:sz w:val="19"/>
              </w:rPr>
              <w:t>E2E-ED-01</w:t>
            </w:r>
          </w:p>
        </w:tc>
        <w:tc>
          <w:tcPr>
            <w:tcW w:type="dxa" w:w="1626"/>
          </w:tcPr>
          <w:p>
            <w:pPr>
              <w:spacing w:after="0"/>
              <w:jc w:val="left"/>
            </w:pPr>
            <w:r>
              <w:rPr>
                <w:sz w:val="19"/>
              </w:rPr>
              <w:t>Renombrar conserva el saldo</w:t>
            </w:r>
          </w:p>
        </w:tc>
        <w:tc>
          <w:tcPr>
            <w:tcW w:type="dxa" w:w="862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smoke</w:t>
            </w:r>
          </w:p>
        </w:tc>
        <w:tc>
          <w:tcPr>
            <w:tcW w:type="dxa" w:w="1328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válida</w:t>
            </w:r>
          </w:p>
        </w:tc>
        <w:tc>
          <w:tcPr>
            <w:tcW w:type="dxa" w:w="3589"/>
          </w:tcPr>
          <w:p>
            <w:pPr>
              <w:spacing w:after="0"/>
              <w:jc w:val="left"/>
            </w:pPr>
            <w:r>
              <w:rPr>
                <w:sz w:val="19"/>
              </w:rPr>
              <w:t>200 · "Viaje a Cartagena" con 100000</w:t>
            </w:r>
          </w:p>
        </w:tc>
      </w:tr>
      <w:tr>
        <w:trPr>
          <w:cantSplit w:val="true"/>
        </w:trPr>
        <w:tc>
          <w:tcPr>
            <w:tcW w:type="dxa" w:w="1235"/>
          </w:tcPr>
          <w:p>
            <w:pPr>
              <w:spacing w:after="0"/>
              <w:jc w:val="left"/>
            </w:pPr>
            <w:r>
              <w:rPr>
                <w:sz w:val="19"/>
              </w:rPr>
              <w:t>E2E-ED-02</w:t>
            </w:r>
          </w:p>
        </w:tc>
        <w:tc>
          <w:tcPr>
            <w:tcW w:type="dxa" w:w="1626"/>
          </w:tcPr>
          <w:p>
            <w:pPr>
              <w:spacing w:after="0"/>
              <w:jc w:val="left"/>
            </w:pPr>
            <w:r>
              <w:rPr>
                <w:sz w:val="19"/>
              </w:rPr>
              <w:t>Aumentar el monto descuenta la diferencia</w:t>
            </w:r>
          </w:p>
        </w:tc>
        <w:tc>
          <w:tcPr>
            <w:tcW w:type="dxa" w:w="862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328"/>
          </w:tcPr>
          <w:p>
            <w:pPr>
              <w:spacing w:after="0"/>
              <w:jc w:val="left"/>
            </w:pPr>
            <w:r>
              <w:rPr>
                <w:sz w:val="19"/>
              </w:rPr>
              <w:t>Efecto lateral</w:t>
            </w:r>
          </w:p>
        </w:tc>
        <w:tc>
          <w:tcPr>
            <w:tcW w:type="dxa" w:w="3589"/>
          </w:tcPr>
          <w:p>
            <w:pPr>
              <w:spacing w:after="0"/>
              <w:jc w:val="left"/>
            </w:pPr>
            <w:r>
              <w:rPr>
                <w:sz w:val="19"/>
              </w:rPr>
              <w:t>200 · bolsillo 150000 · saldo 350000</w:t>
            </w:r>
          </w:p>
        </w:tc>
      </w:tr>
      <w:tr>
        <w:trPr>
          <w:cantSplit w:val="true"/>
        </w:trPr>
        <w:tc>
          <w:tcPr>
            <w:tcW w:type="dxa" w:w="1235"/>
          </w:tcPr>
          <w:p>
            <w:pPr>
              <w:spacing w:after="0"/>
              <w:jc w:val="left"/>
            </w:pPr>
            <w:r>
              <w:rPr>
                <w:sz w:val="19"/>
              </w:rPr>
              <w:t>E2E-ED-03</w:t>
            </w:r>
          </w:p>
        </w:tc>
        <w:tc>
          <w:tcPr>
            <w:tcW w:type="dxa" w:w="1626"/>
          </w:tcPr>
          <w:p>
            <w:pPr>
              <w:spacing w:after="0"/>
              <w:jc w:val="left"/>
            </w:pPr>
            <w:r>
              <w:rPr>
                <w:sz w:val="19"/>
              </w:rPr>
              <w:t>Disminuir el monto devuelve la diferencia</w:t>
            </w:r>
          </w:p>
        </w:tc>
        <w:tc>
          <w:tcPr>
            <w:tcW w:type="dxa" w:w="862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328"/>
          </w:tcPr>
          <w:p>
            <w:pPr>
              <w:spacing w:after="0"/>
              <w:jc w:val="left"/>
            </w:pPr>
            <w:r>
              <w:rPr>
                <w:sz w:val="19"/>
              </w:rPr>
              <w:t>Efecto lateral</w:t>
            </w:r>
          </w:p>
        </w:tc>
        <w:tc>
          <w:tcPr>
            <w:tcW w:type="dxa" w:w="3589"/>
          </w:tcPr>
          <w:p>
            <w:pPr>
              <w:spacing w:after="0"/>
              <w:jc w:val="left"/>
            </w:pPr>
            <w:r>
              <w:rPr>
                <w:sz w:val="19"/>
              </w:rPr>
              <w:t>200 · bolsillo 40000 · saldo 460000</w:t>
            </w:r>
          </w:p>
        </w:tc>
      </w:tr>
      <w:tr>
        <w:trPr>
          <w:cantSplit w:val="true"/>
        </w:trPr>
        <w:tc>
          <w:tcPr>
            <w:tcW w:type="dxa" w:w="1235"/>
          </w:tcPr>
          <w:p>
            <w:pPr>
              <w:spacing w:after="0"/>
              <w:jc w:val="left"/>
            </w:pPr>
            <w:r>
              <w:rPr>
                <w:sz w:val="19"/>
              </w:rPr>
              <w:t>E2E-ED-04</w:t>
            </w:r>
          </w:p>
        </w:tc>
        <w:tc>
          <w:tcPr>
            <w:tcW w:type="dxa" w:w="1626"/>
          </w:tcPr>
          <w:p>
            <w:pPr>
              <w:spacing w:after="0"/>
              <w:jc w:val="left"/>
            </w:pPr>
            <w:r>
              <w:rPr>
                <w:sz w:val="19"/>
              </w:rPr>
              <w:t>No se puede ajustar por encima del dinero total</w:t>
            </w:r>
          </w:p>
        </w:tc>
        <w:tc>
          <w:tcPr>
            <w:tcW w:type="dxa" w:w="862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328"/>
          </w:tcPr>
          <w:p>
            <w:pPr>
              <w:spacing w:after="0"/>
              <w:jc w:val="left"/>
            </w:pPr>
            <w:r>
              <w:rPr>
                <w:sz w:val="19"/>
              </w:rPr>
              <w:t>Valor límite (500001)</w:t>
            </w:r>
          </w:p>
        </w:tc>
        <w:tc>
          <w:tcPr>
            <w:tcW w:type="dxa" w:w="358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INSUFFICIENT_AVAILABLE_BALANCE</w:t>
            </w:r>
            <w:r>
              <w:rPr>
                <w:sz w:val="19"/>
              </w:rPr>
              <w:t xml:space="preserve"> · saldo 400000</w:t>
            </w:r>
          </w:p>
        </w:tc>
      </w:tr>
      <w:tr>
        <w:trPr>
          <w:cantSplit w:val="true"/>
        </w:trPr>
        <w:tc>
          <w:tcPr>
            <w:tcW w:type="dxa" w:w="1235"/>
          </w:tcPr>
          <w:p>
            <w:pPr>
              <w:spacing w:after="0"/>
              <w:jc w:val="left"/>
            </w:pPr>
            <w:r>
              <w:rPr>
                <w:sz w:val="19"/>
              </w:rPr>
              <w:t>E2E-ED-05</w:t>
            </w:r>
          </w:p>
        </w:tc>
        <w:tc>
          <w:tcPr>
            <w:tcW w:type="dxa" w:w="1626"/>
          </w:tcPr>
          <w:p>
            <w:pPr>
              <w:spacing w:after="0"/>
              <w:jc w:val="left"/>
            </w:pPr>
            <w:r>
              <w:rPr>
                <w:sz w:val="19"/>
              </w:rPr>
              <w:t>Renombrar desde la pantalla</w:t>
            </w:r>
          </w:p>
        </w:tc>
        <w:tc>
          <w:tcPr>
            <w:tcW w:type="dxa" w:w="862"/>
          </w:tcPr>
          <w:p>
            <w:pPr>
              <w:spacing w:after="0"/>
              <w:jc w:val="left"/>
            </w:pPr>
            <w:r>
              <w:rPr>
                <w:sz w:val="19"/>
              </w:rPr>
              <w:t>Web</w:t>
            </w:r>
          </w:p>
        </w:tc>
        <w:tc>
          <w:tcPr>
            <w:tcW w:type="dxa" w:w="1328"/>
          </w:tcPr>
          <w:p>
            <w:pPr>
              <w:spacing w:after="0"/>
              <w:jc w:val="left"/>
            </w:pPr>
            <w:r>
              <w:rPr>
                <w:sz w:val="19"/>
              </w:rPr>
              <w:t>Flujo de UI</w:t>
            </w:r>
          </w:p>
        </w:tc>
        <w:tc>
          <w:tcPr>
            <w:tcW w:type="dxa" w:w="3589"/>
          </w:tcPr>
          <w:p>
            <w:pPr>
              <w:spacing w:after="0"/>
              <w:jc w:val="left"/>
            </w:pPr>
            <w:r>
              <w:rPr>
                <w:sz w:val="19"/>
              </w:rPr>
              <w:t>Toast "Bolsillo actualizado" · tarjeta renombrada</w:t>
            </w:r>
          </w:p>
        </w:tc>
      </w:tr>
    </w:tbl>
    <w:p>
      <w:pPr>
        <w:spacing w:after="40"/>
      </w:pPr>
    </w:p>
    <w:p>
      <w:r>
        <w:rPr>
          <w:b/>
        </w:rPr>
        <w:t>Eliminar bolsillo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eliminar_bolsillo.feature</w:t>
      </w:r>
      <w:r>
        <w:rPr/>
        <w:t>, bolsillo "Vacaciones" de 100000)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2234"/>
        <w:gridCol w:w="1383"/>
        <w:gridCol w:w="1560"/>
        <w:gridCol w:w="2187"/>
      </w:tblGrid>
      <w:tr>
        <w:trPr>
          <w:cantSplit w:val="true"/>
          <w:tblHeader w:val="true"/>
        </w:trPr>
        <w:tc>
          <w:tcPr>
            <w:tcW w:type="dxa" w:w="127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23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type="dxa" w:w="138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156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218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276"/>
          </w:tcPr>
          <w:p>
            <w:pPr>
              <w:spacing w:after="0"/>
              <w:jc w:val="left"/>
            </w:pPr>
            <w:r>
              <w:rPr>
                <w:sz w:val="19"/>
              </w:rPr>
              <w:t>E2E-EL-01</w:t>
            </w:r>
          </w:p>
        </w:tc>
        <w:tc>
          <w:tcPr>
            <w:tcW w:type="dxa" w:w="2234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 devuelve el saldo a la cuenta</w:t>
            </w:r>
          </w:p>
        </w:tc>
        <w:tc>
          <w:tcPr>
            <w:tcW w:type="dxa" w:w="1383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smoke</w:t>
            </w:r>
          </w:p>
        </w:tc>
        <w:tc>
          <w:tcPr>
            <w:tcW w:type="dxa" w:w="1560"/>
          </w:tcPr>
          <w:p>
            <w:pPr>
              <w:spacing w:after="0"/>
              <w:jc w:val="left"/>
            </w:pPr>
            <w:r>
              <w:rPr>
                <w:sz w:val="19"/>
              </w:rPr>
              <w:t>Invariante de dinero</w:t>
            </w:r>
          </w:p>
        </w:tc>
        <w:tc>
          <w:tcPr>
            <w:tcW w:type="dxa" w:w="2187"/>
          </w:tcPr>
          <w:p>
            <w:pPr>
              <w:spacing w:after="0"/>
              <w:jc w:val="left"/>
            </w:pPr>
            <w:r>
              <w:rPr>
                <w:sz w:val="19"/>
              </w:rPr>
              <w:t>200 · saldo 500000 · sin bolsillos</w:t>
            </w:r>
          </w:p>
        </w:tc>
      </w:tr>
      <w:tr>
        <w:trPr>
          <w:cantSplit w:val="true"/>
        </w:trPr>
        <w:tc>
          <w:tcPr>
            <w:tcW w:type="dxa" w:w="1276"/>
          </w:tcPr>
          <w:p>
            <w:pPr>
              <w:spacing w:after="0"/>
              <w:jc w:val="left"/>
            </w:pPr>
            <w:r>
              <w:rPr>
                <w:sz w:val="19"/>
              </w:rPr>
              <w:t>E2E-EL-02</w:t>
            </w:r>
          </w:p>
        </w:tc>
        <w:tc>
          <w:tcPr>
            <w:tcW w:type="dxa" w:w="2234"/>
          </w:tcPr>
          <w:p>
            <w:pPr>
              <w:spacing w:after="0"/>
              <w:jc w:val="left"/>
            </w:pPr>
            <w:r>
              <w:rPr>
                <w:sz w:val="19"/>
              </w:rPr>
              <w:t>No se puede eliminar el bolsillo de otro cliente</w:t>
            </w:r>
          </w:p>
        </w:tc>
        <w:tc>
          <w:tcPr>
            <w:tcW w:type="dxa" w:w="1383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seguridad</w:t>
            </w:r>
          </w:p>
        </w:tc>
        <w:tc>
          <w:tcPr>
            <w:tcW w:type="dxa" w:w="1560"/>
          </w:tcPr>
          <w:p>
            <w:pPr>
              <w:spacing w:after="0"/>
              <w:jc w:val="left"/>
            </w:pPr>
            <w:r>
              <w:rPr>
                <w:sz w:val="19"/>
              </w:rPr>
              <w:t>BOLA</w:t>
            </w:r>
          </w:p>
        </w:tc>
        <w:tc>
          <w:tcPr>
            <w:tcW w:type="dxa" w:w="2187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403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FORBIDDEN</w:t>
            </w:r>
            <w:r>
              <w:rPr>
                <w:sz w:val="19"/>
              </w:rPr>
              <w:t xml:space="preserve"> · saldo del dueño intacto</w:t>
            </w:r>
          </w:p>
        </w:tc>
      </w:tr>
      <w:tr>
        <w:trPr>
          <w:cantSplit w:val="true"/>
        </w:trPr>
        <w:tc>
          <w:tcPr>
            <w:tcW w:type="dxa" w:w="1276"/>
          </w:tcPr>
          <w:p>
            <w:pPr>
              <w:spacing w:after="0"/>
              <w:jc w:val="left"/>
            </w:pPr>
            <w:r>
              <w:rPr>
                <w:sz w:val="19"/>
              </w:rPr>
              <w:t>E2E-EL-03</w:t>
            </w:r>
          </w:p>
        </w:tc>
        <w:tc>
          <w:tcPr>
            <w:tcW w:type="dxa" w:w="2234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 desde la pantalla con confirmación</w:t>
            </w:r>
          </w:p>
        </w:tc>
        <w:tc>
          <w:tcPr>
            <w:tcW w:type="dxa" w:w="1383"/>
          </w:tcPr>
          <w:p>
            <w:pPr>
              <w:spacing w:after="0"/>
              <w:jc w:val="left"/>
            </w:pPr>
            <w:r>
              <w:rPr>
                <w:sz w:val="19"/>
              </w:rPr>
              <w:t>Web · smoke</w:t>
            </w:r>
          </w:p>
        </w:tc>
        <w:tc>
          <w:tcPr>
            <w:tcW w:type="dxa" w:w="1560"/>
          </w:tcPr>
          <w:p>
            <w:pPr>
              <w:spacing w:after="0"/>
              <w:jc w:val="left"/>
            </w:pPr>
            <w:r>
              <w:rPr>
                <w:sz w:val="19"/>
              </w:rPr>
              <w:t>Flujo con modal</w:t>
            </w:r>
          </w:p>
        </w:tc>
        <w:tc>
          <w:tcPr>
            <w:tcW w:type="dxa" w:w="2187"/>
          </w:tcPr>
          <w:p>
            <w:pPr>
              <w:spacing w:after="0"/>
              <w:jc w:val="left"/>
            </w:pPr>
            <w:r>
              <w:rPr>
                <w:sz w:val="19"/>
              </w:rPr>
              <w:t>Toast "Bolsillo eliminado" · lista vacía · saldo 500000</w:t>
            </w:r>
          </w:p>
        </w:tc>
      </w:tr>
    </w:tbl>
    <w:p>
      <w:pPr>
        <w:spacing w:after="40"/>
      </w:pPr>
    </w:p>
    <w:p>
      <w:r>
        <w:rPr>
          <w:b/>
        </w:rPr>
        <w:t>Transferir entre bolsillos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transferir_entre_bolsillos.feature</w:t>
      </w:r>
      <w:r>
        <w:rPr/>
        <w:t>, "Vacaciones" 100000 y "Mercado" 50000)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3"/>
        <w:gridCol w:w="1666"/>
        <w:gridCol w:w="881"/>
        <w:gridCol w:w="1512"/>
        <w:gridCol w:w="3338"/>
      </w:tblGrid>
      <w:tr>
        <w:trPr>
          <w:cantSplit w:val="true"/>
          <w:tblHeader w:val="true"/>
        </w:trPr>
        <w:tc>
          <w:tcPr>
            <w:tcW w:type="dxa" w:w="124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66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type="dxa" w:w="88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151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333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243"/>
          </w:tcPr>
          <w:p>
            <w:pPr>
              <w:spacing w:after="0"/>
              <w:jc w:val="left"/>
            </w:pPr>
            <w:r>
              <w:rPr>
                <w:sz w:val="19"/>
              </w:rPr>
              <w:t>E2E-TR-01</w:t>
            </w:r>
          </w:p>
        </w:tc>
        <w:tc>
          <w:tcPr>
            <w:tcW w:type="dxa" w:w="1666"/>
          </w:tcPr>
          <w:p>
            <w:pPr>
              <w:spacing w:after="0"/>
              <w:jc w:val="left"/>
            </w:pPr>
            <w:r>
              <w:rPr>
                <w:sz w:val="19"/>
              </w:rPr>
              <w:t>Mover dinero de un bolsillo a otro</w:t>
            </w:r>
          </w:p>
        </w:tc>
        <w:tc>
          <w:tcPr>
            <w:tcW w:type="dxa" w:w="881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smoke</w:t>
            </w:r>
          </w:p>
        </w:tc>
        <w:tc>
          <w:tcPr>
            <w:tcW w:type="dxa" w:w="1512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válida</w:t>
            </w:r>
          </w:p>
        </w:tc>
        <w:tc>
          <w:tcPr>
            <w:tcW w:type="dxa" w:w="3338"/>
          </w:tcPr>
          <w:p>
            <w:pPr>
              <w:spacing w:after="0"/>
              <w:jc w:val="left"/>
            </w:pPr>
            <w:r>
              <w:rPr>
                <w:sz w:val="19"/>
              </w:rPr>
              <w:t>200 · 70000 / 80000 · saldo 350000 sin cambios</w:t>
            </w:r>
          </w:p>
        </w:tc>
      </w:tr>
      <w:tr>
        <w:trPr>
          <w:cantSplit w:val="true"/>
        </w:trPr>
        <w:tc>
          <w:tcPr>
            <w:tcW w:type="dxa" w:w="1243"/>
          </w:tcPr>
          <w:p>
            <w:pPr>
              <w:spacing w:after="0"/>
              <w:jc w:val="left"/>
            </w:pPr>
            <w:r>
              <w:rPr>
                <w:sz w:val="19"/>
              </w:rPr>
              <w:t>E2E-TR-02</w:t>
            </w:r>
          </w:p>
        </w:tc>
        <w:tc>
          <w:tcPr>
            <w:tcW w:type="dxa" w:w="1666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 todo el saldo del bolsillo</w:t>
            </w:r>
          </w:p>
        </w:tc>
        <w:tc>
          <w:tcPr>
            <w:tcW w:type="dxa" w:w="881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512"/>
          </w:tcPr>
          <w:p>
            <w:pPr>
              <w:spacing w:after="0"/>
              <w:jc w:val="left"/>
            </w:pPr>
            <w:r>
              <w:rPr>
                <w:sz w:val="19"/>
              </w:rPr>
              <w:t>Valor límite</w:t>
            </w:r>
          </w:p>
        </w:tc>
        <w:tc>
          <w:tcPr>
            <w:tcW w:type="dxa" w:w="3338"/>
          </w:tcPr>
          <w:p>
            <w:pPr>
              <w:spacing w:after="0"/>
              <w:jc w:val="left"/>
            </w:pPr>
            <w:r>
              <w:rPr>
                <w:sz w:val="19"/>
              </w:rPr>
              <w:t>200 · 0 / 150000</w:t>
            </w:r>
          </w:p>
        </w:tc>
      </w:tr>
      <w:tr>
        <w:trPr>
          <w:cantSplit w:val="true"/>
        </w:trPr>
        <w:tc>
          <w:tcPr>
            <w:tcW w:type="dxa" w:w="1243"/>
          </w:tcPr>
          <w:p>
            <w:pPr>
              <w:spacing w:after="0"/>
              <w:jc w:val="left"/>
            </w:pPr>
            <w:r>
              <w:rPr>
                <w:sz w:val="19"/>
              </w:rPr>
              <w:t>E2E-TR-03</w:t>
            </w:r>
          </w:p>
        </w:tc>
        <w:tc>
          <w:tcPr>
            <w:tcW w:type="dxa" w:w="1666"/>
          </w:tcPr>
          <w:p>
            <w:pPr>
              <w:spacing w:after="0"/>
              <w:jc w:val="left"/>
            </w:pPr>
            <w:r>
              <w:rPr>
                <w:sz w:val="19"/>
              </w:rPr>
              <w:t>No transferir más de lo que tiene el origen</w:t>
            </w:r>
          </w:p>
        </w:tc>
        <w:tc>
          <w:tcPr>
            <w:tcW w:type="dxa" w:w="881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512"/>
          </w:tcPr>
          <w:p>
            <w:pPr>
              <w:spacing w:after="0"/>
              <w:jc w:val="left"/>
            </w:pPr>
            <w:r>
              <w:rPr>
                <w:sz w:val="19"/>
              </w:rPr>
              <w:t>Valor límite (+1)</w:t>
            </w:r>
          </w:p>
        </w:tc>
        <w:tc>
          <w:tcPr>
            <w:tcW w:type="dxa" w:w="333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INSUFFICIENT_POCKET_BALANCE</w:t>
            </w:r>
            <w:r>
              <w:rPr>
                <w:sz w:val="19"/>
              </w:rPr>
              <w:t xml:space="preserve"> · origen intacto</w:t>
            </w:r>
          </w:p>
        </w:tc>
      </w:tr>
      <w:tr>
        <w:trPr>
          <w:cantSplit w:val="true"/>
        </w:trPr>
        <w:tc>
          <w:tcPr>
            <w:tcW w:type="dxa" w:w="1243"/>
          </w:tcPr>
          <w:p>
            <w:pPr>
              <w:spacing w:after="0"/>
              <w:jc w:val="left"/>
            </w:pPr>
            <w:r>
              <w:rPr>
                <w:sz w:val="19"/>
              </w:rPr>
              <w:t>E2E-TR-04</w:t>
            </w:r>
          </w:p>
        </w:tc>
        <w:tc>
          <w:tcPr>
            <w:tcW w:type="dxa" w:w="1666"/>
          </w:tcPr>
          <w:p>
            <w:pPr>
              <w:spacing w:after="0"/>
              <w:jc w:val="left"/>
            </w:pPr>
            <w:r>
              <w:rPr>
                <w:sz w:val="19"/>
              </w:rPr>
              <w:t>Origen y destino deben ser diferentes</w:t>
            </w:r>
          </w:p>
        </w:tc>
        <w:tc>
          <w:tcPr>
            <w:tcW w:type="dxa" w:w="881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512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inválida</w:t>
            </w:r>
          </w:p>
        </w:tc>
        <w:tc>
          <w:tcPr>
            <w:tcW w:type="dxa" w:w="333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INVALID_TRANSFER_TARGET</w:t>
            </w:r>
          </w:p>
        </w:tc>
      </w:tr>
      <w:tr>
        <w:trPr>
          <w:cantSplit w:val="true"/>
        </w:trPr>
        <w:tc>
          <w:tcPr>
            <w:tcW w:type="dxa" w:w="1243"/>
          </w:tcPr>
          <w:p>
            <w:pPr>
              <w:spacing w:after="0"/>
              <w:jc w:val="left"/>
            </w:pPr>
            <w:r>
              <w:rPr>
                <w:sz w:val="19"/>
              </w:rPr>
              <w:t>E2E-TR-05</w:t>
            </w:r>
          </w:p>
        </w:tc>
        <w:tc>
          <w:tcPr>
            <w:tcW w:type="dxa" w:w="1666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 desde la pantalla</w:t>
            </w:r>
          </w:p>
        </w:tc>
        <w:tc>
          <w:tcPr>
            <w:tcW w:type="dxa" w:w="881"/>
          </w:tcPr>
          <w:p>
            <w:pPr>
              <w:spacing w:after="0"/>
              <w:jc w:val="left"/>
            </w:pPr>
            <w:r>
              <w:rPr>
                <w:sz w:val="19"/>
              </w:rPr>
              <w:t>Web</w:t>
            </w:r>
          </w:p>
        </w:tc>
        <w:tc>
          <w:tcPr>
            <w:tcW w:type="dxa" w:w="1512"/>
          </w:tcPr>
          <w:p>
            <w:pPr>
              <w:spacing w:after="0"/>
              <w:jc w:val="left"/>
            </w:pPr>
            <w:r>
              <w:rPr>
                <w:sz w:val="19"/>
              </w:rPr>
              <w:t>Blended (bolsillos por API)</w:t>
            </w:r>
          </w:p>
        </w:tc>
        <w:tc>
          <w:tcPr>
            <w:tcW w:type="dxa" w:w="3338"/>
          </w:tcPr>
          <w:p>
            <w:pPr>
              <w:spacing w:after="0"/>
              <w:jc w:val="left"/>
            </w:pPr>
            <w:r>
              <w:rPr>
                <w:sz w:val="19"/>
              </w:rPr>
              <w:t>Toast "Transferencia realizada" · 70000 / 80000</w:t>
            </w:r>
          </w:p>
        </w:tc>
      </w:tr>
    </w:tbl>
    <w:p>
      <w:pPr>
        <w:spacing w:after="40"/>
      </w:pPr>
    </w:p>
    <w:p>
      <w:r>
        <w:rPr>
          <w:b/>
        </w:rPr>
        <w:t>Depositar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depositar.feature</w:t>
      </w:r>
      <w:r>
        <w:rPr/>
        <w:t>, cuenta con saldo 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5"/>
        <w:gridCol w:w="1926"/>
        <w:gridCol w:w="1355"/>
        <w:gridCol w:w="1610"/>
        <w:gridCol w:w="2484"/>
      </w:tblGrid>
      <w:tr>
        <w:trPr>
          <w:cantSplit w:val="true"/>
          <w:tblHeader w:val="true"/>
        </w:trPr>
        <w:tc>
          <w:tcPr>
            <w:tcW w:type="dxa" w:w="126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92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type="dxa" w:w="135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161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Técnica</w:t>
            </w:r>
          </w:p>
        </w:tc>
        <w:tc>
          <w:tcPr>
            <w:tcW w:type="dxa" w:w="248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E2E-DE-01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>Depositar un monto válido con descripción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smoke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válida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>200 · saldo 250000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E2E-DE-02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>Los depósitos se acumulan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sz w:val="19"/>
              </w:rPr>
              <w:t>Secuencia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>saldo 150000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E2E-DE-03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>Rechazar depósito de 0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sz w:val="19"/>
              </w:rPr>
              <w:t>Valor límite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INVALID_AMOUNT</w:t>
            </w:r>
            <w:r>
              <w:rPr>
                <w:sz w:val="19"/>
              </w:rPr>
              <w:t xml:space="preserve"> · saldo 0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E2E-DE-04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>Rechazar depósito negativo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API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sz w:val="19"/>
              </w:rPr>
              <w:t>Partición inválida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INVALID_AMOUNT</w:t>
            </w:r>
            <w:r>
              <w:rPr>
                <w:sz w:val="19"/>
              </w:rPr>
              <w:t xml:space="preserve"> · saldo 0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E2E-DE-05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Monto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true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seguridad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Type juggling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INVALID_AMOUNT</w:t>
            </w:r>
            <w:r>
              <w:rPr>
                <w:sz w:val="19"/>
              </w:rPr>
              <w:t xml:space="preserve"> · saldo 0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E2E-DE-06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Monto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"abc"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seguridad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Type juggling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INVALID_AMOUNT</w:t>
            </w:r>
            <w:r>
              <w:rPr>
                <w:sz w:val="19"/>
              </w:rPr>
              <w:t xml:space="preserve"> · saldo 0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E2E-DE-07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Monto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null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seguridad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Type juggling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INVALID_AMOUNT</w:t>
            </w:r>
            <w:r>
              <w:rPr>
                <w:sz w:val="19"/>
              </w:rPr>
              <w:t xml:space="preserve"> · saldo 0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E2E-DE-08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Monto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[1000]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seguridad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Type juggling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INVALID_AMOUNT</w:t>
            </w:r>
            <w:r>
              <w:rPr>
                <w:sz w:val="19"/>
              </w:rPr>
              <w:t xml:space="preserve"> · saldo 0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E2E-DE-09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>No depositar en la cuenta de otro cliente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API · seguridad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sz w:val="19"/>
              </w:rPr>
              <w:t>BOLA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403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FORBIDDEN</w:t>
            </w:r>
            <w:r>
              <w:rPr>
                <w:sz w:val="19"/>
              </w:rPr>
              <w:t xml:space="preserve"> · saldo ajeno intacto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E2E-DE-10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>Abonar desde la pantalla de cuentas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Web · smoke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sz w:val="19"/>
              </w:rPr>
              <w:t>Blended (verifica por API)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>Toast "Deposito realizado" · saldo 150000 en pantalla y en la API</w:t>
            </w:r>
          </w:p>
        </w:tc>
      </w:tr>
      <w:tr>
        <w:trPr>
          <w:cantSplit w:val="true"/>
        </w:trPr>
        <w:tc>
          <w:tcPr>
            <w:tcW w:type="dxa" w:w="1265"/>
          </w:tcPr>
          <w:p>
            <w:pPr>
              <w:spacing w:after="0"/>
              <w:jc w:val="left"/>
            </w:pPr>
            <w:r>
              <w:rPr>
                <w:sz w:val="19"/>
              </w:rPr>
              <w:t>E2E-DE-11</w:t>
            </w:r>
          </w:p>
        </w:tc>
        <w:tc>
          <w:tcPr>
            <w:tcW w:type="dxa" w:w="1926"/>
          </w:tcPr>
          <w:p>
            <w:pPr>
              <w:spacing w:after="0"/>
              <w:jc w:val="left"/>
            </w:pPr>
            <w:r>
              <w:rPr>
                <w:sz w:val="19"/>
              </w:rPr>
              <w:t>El formulario rechaza un monto en cero</w:t>
            </w:r>
          </w:p>
        </w:tc>
        <w:tc>
          <w:tcPr>
            <w:tcW w:type="dxa" w:w="1355"/>
          </w:tcPr>
          <w:p>
            <w:pPr>
              <w:spacing w:after="0"/>
              <w:jc w:val="left"/>
            </w:pPr>
            <w:r>
              <w:rPr>
                <w:sz w:val="19"/>
              </w:rPr>
              <w:t>Web</w:t>
            </w:r>
          </w:p>
        </w:tc>
        <w:tc>
          <w:tcPr>
            <w:tcW w:type="dxa" w:w="1610"/>
          </w:tcPr>
          <w:p>
            <w:pPr>
              <w:spacing w:after="0"/>
              <w:jc w:val="left"/>
            </w:pPr>
            <w:r>
              <w:rPr>
                <w:sz w:val="19"/>
              </w:rPr>
              <w:t>Validación en cliente</w:t>
            </w:r>
          </w:p>
        </w:tc>
        <w:tc>
          <w:tcPr>
            <w:tcW w:type="dxa" w:w="2484"/>
          </w:tcPr>
          <w:p>
            <w:pPr>
              <w:spacing w:after="0"/>
              <w:jc w:val="left"/>
            </w:pPr>
            <w:r>
              <w:rPr>
                <w:sz w:val="19"/>
              </w:rPr>
              <w:t>Mensaje "Por favor ingresa un monto válido mayor a cero." · saldo 0</w:t>
            </w:r>
          </w:p>
        </w:tc>
      </w:tr>
    </w:tbl>
    <w:p>
      <w:pPr>
        <w:spacing w:after="40"/>
      </w:pPr>
    </w:p>
    <w:p>
      <w:r>
        <w:rPr>
          <w:b/>
        </w:rPr>
        <w:t>Recorrido completo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abonar_y_ahorrar.feature</w:t>
      </w:r>
      <w:r>
        <w:rPr/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3"/>
        <w:gridCol w:w="2938"/>
        <w:gridCol w:w="1106"/>
        <w:gridCol w:w="3263"/>
      </w:tblGrid>
      <w:tr>
        <w:trPr>
          <w:cantSplit w:val="true"/>
          <w:tblHeader w:val="true"/>
        </w:trPr>
        <w:tc>
          <w:tcPr>
            <w:tcW w:type="dxa" w:w="133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93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Escenario</w:t>
            </w:r>
          </w:p>
        </w:tc>
        <w:tc>
          <w:tcPr>
            <w:tcW w:type="dxa" w:w="110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326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333"/>
          </w:tcPr>
          <w:p>
            <w:pPr>
              <w:spacing w:after="0"/>
              <w:jc w:val="left"/>
            </w:pPr>
            <w:r>
              <w:rPr>
                <w:sz w:val="19"/>
              </w:rPr>
              <w:t>E2E-RC-01</w:t>
            </w:r>
          </w:p>
        </w:tc>
        <w:tc>
          <w:tcPr>
            <w:tcW w:type="dxa" w:w="2938"/>
          </w:tcPr>
          <w:p>
            <w:pPr>
              <w:spacing w:after="0"/>
              <w:jc w:val="left"/>
            </w:pPr>
            <w:r>
              <w:rPr>
                <w:sz w:val="19"/>
              </w:rPr>
              <w:t>Abonar a la cuenta y apartar una parte en un bolsillo nuevo</w:t>
            </w:r>
          </w:p>
        </w:tc>
        <w:tc>
          <w:tcPr>
            <w:tcW w:type="dxa" w:w="1106"/>
          </w:tcPr>
          <w:p>
            <w:pPr>
              <w:spacing w:after="0"/>
              <w:jc w:val="left"/>
            </w:pPr>
            <w:r>
              <w:rPr>
                <w:sz w:val="19"/>
              </w:rPr>
              <w:t>Web · smoke</w:t>
            </w:r>
          </w:p>
        </w:tc>
        <w:tc>
          <w:tcPr>
            <w:tcW w:type="dxa" w:w="3263"/>
          </w:tcPr>
          <w:p>
            <w:pPr>
              <w:spacing w:after="0"/>
              <w:jc w:val="left"/>
            </w:pPr>
            <w:r>
              <w:rPr>
                <w:sz w:val="19"/>
              </w:rPr>
              <w:t>Saldo 200000 en pantalla → bolsillo "Emergencias" con 50000 → saldo real 150000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7.3 Trazabilidad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7"/>
        <w:gridCol w:w="837"/>
        <w:gridCol w:w="837"/>
        <w:gridCol w:w="1467"/>
        <w:gridCol w:w="3612"/>
      </w:tblGrid>
      <w:tr>
        <w:trPr>
          <w:cantSplit w:val="true"/>
          <w:tblHeader w:val="true"/>
        </w:trPr>
        <w:tc>
          <w:tcPr>
            <w:tcW w:type="dxa" w:w="188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Funcionalidad</w:t>
            </w:r>
          </w:p>
        </w:tc>
        <w:tc>
          <w:tcPr>
            <w:tcW w:type="dxa" w:w="837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API</w:t>
            </w:r>
          </w:p>
        </w:tc>
        <w:tc>
          <w:tcPr>
            <w:tcW w:type="dxa" w:w="837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Web</w:t>
            </w:r>
          </w:p>
        </w:tc>
        <w:tc>
          <w:tcPr>
            <w:tcW w:type="dxa" w:w="1467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Seguridad</w:t>
            </w:r>
          </w:p>
        </w:tc>
        <w:tc>
          <w:tcPr>
            <w:tcW w:type="dxa" w:w="361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Relación con otras suites</w:t>
            </w:r>
          </w:p>
        </w:tc>
      </w:tr>
      <w:tr>
        <w:trPr>
          <w:cantSplit w:val="true"/>
        </w:trPr>
        <w:tc>
          <w:tcPr>
            <w:tcW w:type="dxa" w:w="1887"/>
          </w:tcPr>
          <w:p>
            <w:pPr>
              <w:spacing w:after="0"/>
              <w:jc w:val="left"/>
            </w:pPr>
            <w:r>
              <w:rPr>
                <w:sz w:val="19"/>
              </w:rPr>
              <w:t>Crear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467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3612"/>
          </w:tcPr>
          <w:p>
            <w:pPr>
              <w:spacing w:after="0"/>
              <w:jc w:val="left"/>
            </w:pPr>
            <w:r>
              <w:rPr>
                <w:sz w:val="19"/>
              </w:rPr>
              <w:t>Regresión RG-CR-*; D-02 corregido (SEC-03)</w:t>
            </w:r>
          </w:p>
        </w:tc>
      </w:tr>
      <w:tr>
        <w:trPr>
          <w:cantSplit w:val="true"/>
        </w:trPr>
        <w:tc>
          <w:tcPr>
            <w:tcW w:type="dxa" w:w="1887"/>
          </w:tcPr>
          <w:p>
            <w:pPr>
              <w:spacing w:after="0"/>
              <w:jc w:val="left"/>
            </w:pPr>
            <w:r>
              <w:rPr>
                <w:sz w:val="19"/>
              </w:rPr>
              <w:t>Consultar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467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612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SEC-AUTHZ (IDOR)</w:t>
            </w:r>
          </w:p>
        </w:tc>
      </w:tr>
      <w:tr>
        <w:trPr>
          <w:cantSplit w:val="true"/>
        </w:trPr>
        <w:tc>
          <w:tcPr>
            <w:tcW w:type="dxa" w:w="1887"/>
          </w:tcPr>
          <w:p>
            <w:pPr>
              <w:spacing w:after="0"/>
              <w:jc w:val="left"/>
            </w:pPr>
            <w:r>
              <w:rPr>
                <w:sz w:val="19"/>
              </w:rPr>
              <w:t>Editar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467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3612"/>
          </w:tcPr>
          <w:p>
            <w:pPr>
              <w:spacing w:after="0"/>
              <w:jc w:val="left"/>
            </w:pPr>
            <w:r>
              <w:rPr>
                <w:sz w:val="19"/>
              </w:rPr>
              <w:t>Regresión RG-AC-*</w:t>
            </w:r>
          </w:p>
        </w:tc>
      </w:tr>
      <w:tr>
        <w:trPr>
          <w:cantSplit w:val="true"/>
        </w:trPr>
        <w:tc>
          <w:tcPr>
            <w:tcW w:type="dxa" w:w="1887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467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612"/>
          </w:tcPr>
          <w:p>
            <w:pPr>
              <w:spacing w:after="0"/>
              <w:jc w:val="left"/>
            </w:pPr>
            <w:r>
              <w:rPr>
                <w:sz w:val="19"/>
              </w:rPr>
              <w:t>Regresión RG-EL-*; SEC-AUTHZ</w:t>
            </w:r>
          </w:p>
        </w:tc>
      </w:tr>
      <w:tr>
        <w:trPr>
          <w:cantSplit w:val="true"/>
        </w:trPr>
        <w:tc>
          <w:tcPr>
            <w:tcW w:type="dxa" w:w="1887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467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3612"/>
          </w:tcPr>
          <w:p>
            <w:pPr>
              <w:spacing w:after="0"/>
              <w:jc w:val="left"/>
            </w:pPr>
            <w:r>
              <w:rPr>
                <w:sz w:val="19"/>
              </w:rPr>
              <w:t>Regresión RG-TR-*</w:t>
            </w:r>
          </w:p>
        </w:tc>
      </w:tr>
      <w:tr>
        <w:trPr>
          <w:cantSplit w:val="true"/>
        </w:trPr>
        <w:tc>
          <w:tcPr>
            <w:tcW w:type="dxa" w:w="1887"/>
          </w:tcPr>
          <w:p>
            <w:pPr>
              <w:spacing w:after="0"/>
              <w:jc w:val="left"/>
            </w:pPr>
            <w:r>
              <w:rPr>
                <w:sz w:val="19"/>
              </w:rPr>
              <w:t>Depositar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467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612"/>
          </w:tcPr>
          <w:p>
            <w:pPr>
              <w:spacing w:after="0"/>
              <w:jc w:val="left"/>
            </w:pPr>
            <w:r>
              <w:rPr>
                <w:sz w:val="19"/>
              </w:rPr>
              <w:t>D-08 / SEC-04 (</w:t>
            </w:r>
            <w:r>
              <w:rPr>
                <w:i/>
                <w:sz w:val="19"/>
              </w:rPr>
              <w:t>type juggling</w:t>
            </w:r>
            <w:r>
              <w:rPr>
                <w:sz w:val="19"/>
              </w:rPr>
              <w:t>), SEC-AUTHZ</w:t>
            </w:r>
          </w:p>
        </w:tc>
      </w:tr>
      <w:tr>
        <w:trPr>
          <w:cantSplit w:val="true"/>
        </w:trPr>
        <w:tc>
          <w:tcPr>
            <w:tcW w:type="dxa" w:w="1887"/>
          </w:tcPr>
          <w:p>
            <w:pPr>
              <w:spacing w:after="0"/>
              <w:jc w:val="left"/>
            </w:pPr>
            <w:r>
              <w:rPr>
                <w:sz w:val="19"/>
              </w:rPr>
              <w:t>Recorrido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467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3612"/>
          </w:tcPr>
          <w:p>
            <w:pPr>
              <w:spacing w:after="0"/>
              <w:jc w:val="left"/>
            </w:pPr>
            <w:r>
              <w:rPr>
                <w:sz w:val="19"/>
              </w:rPr>
              <w:t>Cruza Depositar y Crear</w:t>
            </w:r>
          </w:p>
        </w:tc>
      </w:tr>
      <w:tr>
        <w:trPr>
          <w:cantSplit w:val="true"/>
        </w:trPr>
        <w:tc>
          <w:tcPr>
            <w:tcW w:type="dxa" w:w="1887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type="dxa" w:w="837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1467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3612"/>
          </w:tcPr>
          <w:p>
            <w:pPr>
              <w:spacing w:after="0"/>
              <w:jc w:val="left"/>
            </w:pPr>
          </w:p>
        </w:tc>
      </w:tr>
    </w:tbl>
    <w:p>
      <w:pPr>
        <w:spacing w:after="40"/>
      </w:pPr>
    </w:p>
    <w:p>
      <w:r>
        <w:rPr/>
        <w:t xml:space="preserve">Los escenarios de seguridad repiten, </w:t>
      </w:r>
      <w:r>
        <w:rPr>
          <w:b/>
        </w:rPr>
        <w:t>contra el sistema real</w:t>
      </w:r>
      <w:r>
        <w:rPr/>
        <w:t>, controles que la suite de seguridad verificó con persistencia en memoria. Confirman que las correcciones de SEC-03/SEC-04 y los controles de propiedad funcionan también con Supabase y sobre HTTP real.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8. Testabilidad: cambios en el frontend</w:t>
      </w:r>
    </w:p>
    <w:p>
      <w:r>
        <w:rPr/>
        <w:t xml:space="preserve">Para tener selectores estables se agregaron </w:t>
      </w:r>
      <w:r>
        <w:rPr>
          <w:b/>
        </w:rPr>
        <w:t>atributos sin efecto funcional</w:t>
      </w:r>
      <w:r>
        <w:rPr/>
        <w:t xml:space="preserve"> (commit </w:t>
      </w:r>
      <w:r>
        <w:rPr>
          <w:rFonts w:ascii="Consolas" w:hAnsi="Consolas"/>
          <w:b w:val="0"/>
          <w:color w:val="8B1E3F"/>
          <w:sz w:val="19"/>
        </w:rPr>
        <w:t>test(frontend): selectores estables…</w:t>
      </w:r>
      <w:r>
        <w:rPr/>
        <w:t>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3778"/>
        <w:gridCol w:w="2028"/>
      </w:tblGrid>
      <w:tr>
        <w:trPr>
          <w:cantSplit w:val="true"/>
          <w:tblHeader w:val="true"/>
        </w:trPr>
        <w:tc>
          <w:tcPr>
            <w:tcW w:type="dxa" w:w="283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377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Atributos</w:t>
            </w:r>
          </w:p>
        </w:tc>
        <w:tc>
          <w:tcPr>
            <w:tcW w:type="dxa" w:w="202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Uso</w:t>
            </w:r>
          </w:p>
        </w:tc>
      </w:tr>
      <w:tr>
        <w:trPr>
          <w:cantSplit w:val="true"/>
        </w:trPr>
        <w:tc>
          <w:tcPr>
            <w:tcW w:type="dxa" w:w="28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PocketsClient.tsx</w:t>
            </w:r>
          </w:p>
        </w:tc>
        <w:tc>
          <w:tcPr>
            <w:tcW w:type="dxa" w:w="377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id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pocket-name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pocket-amount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transfer-amount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edit-pocket-name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edit-pocket-amount</w:t>
            </w:r>
          </w:p>
        </w:tc>
        <w:tc>
          <w:tcPr>
            <w:tcW w:type="dxa" w:w="2028"/>
          </w:tcPr>
          <w:p>
            <w:pPr>
              <w:spacing w:after="0"/>
              <w:jc w:val="left"/>
            </w:pPr>
            <w:r>
              <w:rPr>
                <w:sz w:val="19"/>
              </w:rPr>
              <w:t>Campos de los formularios</w:t>
            </w:r>
          </w:p>
        </w:tc>
      </w:tr>
      <w:tr>
        <w:trPr>
          <w:cantSplit w:val="true"/>
        </w:trPr>
        <w:tc>
          <w:tcPr>
            <w:tcW w:type="dxa" w:w="28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PocketsClient.tsx</w:t>
            </w:r>
          </w:p>
        </w:tc>
        <w:tc>
          <w:tcPr>
            <w:tcW w:type="dxa" w:w="377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data-testid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create-pocket-button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transfer-pockets-button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pocket-card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pocket-card-name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pocket-card-amount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edit-pocket-button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delete-pocket-button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save-pocket-button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confirm-delete-pocket-button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pockets-empty</w:t>
            </w:r>
          </w:p>
        </w:tc>
        <w:tc>
          <w:tcPr>
            <w:tcW w:type="dxa" w:w="2028"/>
          </w:tcPr>
          <w:p>
            <w:pPr>
              <w:spacing w:after="0"/>
              <w:jc w:val="left"/>
            </w:pPr>
            <w:r>
              <w:rPr>
                <w:sz w:val="19"/>
              </w:rPr>
              <w:t>Botones, tarjetas y estado vacío</w:t>
            </w:r>
          </w:p>
        </w:tc>
      </w:tr>
      <w:tr>
        <w:trPr>
          <w:cantSplit w:val="true"/>
        </w:trPr>
        <w:tc>
          <w:tcPr>
            <w:tcW w:type="dxa" w:w="28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AccountCard.tsx</w:t>
            </w:r>
          </w:p>
        </w:tc>
        <w:tc>
          <w:tcPr>
            <w:tcW w:type="dxa" w:w="377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data-testid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account-card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account-balance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deposit-button</w:t>
            </w:r>
          </w:p>
        </w:tc>
        <w:tc>
          <w:tcPr>
            <w:tcW w:type="dxa" w:w="2028"/>
          </w:tcPr>
          <w:p>
            <w:pPr>
              <w:spacing w:after="0"/>
              <w:jc w:val="left"/>
            </w:pPr>
            <w:r>
              <w:rPr>
                <w:sz w:val="19"/>
              </w:rPr>
              <w:t>Tarjeta de la cuenta</w:t>
            </w:r>
          </w:p>
        </w:tc>
      </w:tr>
      <w:tr>
        <w:trPr>
          <w:cantSplit w:val="true"/>
        </w:trPr>
        <w:tc>
          <w:tcPr>
            <w:tcW w:type="dxa" w:w="28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DepositWithdrawModal.tsx</w:t>
            </w:r>
          </w:p>
        </w:tc>
        <w:tc>
          <w:tcPr>
            <w:tcW w:type="dxa" w:w="377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id="dw-amount"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htmlFor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data-testid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dw-submit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dw-error</w:t>
            </w:r>
          </w:p>
        </w:tc>
        <w:tc>
          <w:tcPr>
            <w:tcW w:type="dxa" w:w="2028"/>
          </w:tcPr>
          <w:p>
            <w:pPr>
              <w:spacing w:after="0"/>
              <w:jc w:val="left"/>
            </w:pPr>
            <w:r>
              <w:rPr>
                <w:sz w:val="19"/>
              </w:rPr>
              <w:t>Modal de abono</w:t>
            </w:r>
          </w:p>
        </w:tc>
      </w:tr>
      <w:tr>
        <w:trPr>
          <w:cantSplit w:val="true"/>
        </w:trPr>
        <w:tc>
          <w:tcPr>
            <w:tcW w:type="dxa" w:w="28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ToastProvider.tsx</w:t>
            </w:r>
          </w:p>
        </w:tc>
        <w:tc>
          <w:tcPr>
            <w:tcW w:type="dxa" w:w="377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data-testid="toast-title"</w:t>
            </w:r>
          </w:p>
        </w:tc>
        <w:tc>
          <w:tcPr>
            <w:tcW w:type="dxa" w:w="2028"/>
          </w:tcPr>
          <w:p>
            <w:pPr>
              <w:spacing w:after="0"/>
              <w:jc w:val="left"/>
            </w:pPr>
            <w:r>
              <w:rPr>
                <w:sz w:val="19"/>
              </w:rPr>
              <w:t>Notificaciones</w:t>
            </w:r>
          </w:p>
        </w:tc>
      </w:tr>
    </w:tbl>
    <w:p>
      <w:pPr>
        <w:spacing w:after="40"/>
      </w:pPr>
    </w:p>
    <w:p>
      <w:r>
        <w:rPr/>
        <w:t xml:space="preserve">Criterio: </w:t>
      </w:r>
      <w:r>
        <w:rPr>
          <w:rFonts w:ascii="Consolas" w:hAnsi="Consolas"/>
          <w:b w:val="0"/>
          <w:color w:val="8B1E3F"/>
          <w:sz w:val="19"/>
        </w:rPr>
        <w:t>id</w:t>
      </w:r>
      <w:r>
        <w:rPr/>
        <w:t xml:space="preserve"> en los campos de formulario y </w:t>
      </w:r>
      <w:r>
        <w:rPr>
          <w:rFonts w:ascii="Consolas" w:hAnsi="Consolas"/>
          <w:b w:val="0"/>
          <w:color w:val="8B1E3F"/>
          <w:sz w:val="19"/>
        </w:rPr>
        <w:t>data-testid</w:t>
      </w:r>
      <w:r>
        <w:rPr/>
        <w:t xml:space="preserve"> en lo que no tiene semántica propia. Como efecto secundario positivo, los </w:t>
      </w:r>
      <w:r>
        <w:rPr>
          <w:rFonts w:ascii="Consolas" w:hAnsi="Consolas"/>
          <w:b w:val="0"/>
          <w:color w:val="8B1E3F"/>
          <w:sz w:val="19"/>
        </w:rPr>
        <w:t>id</w:t>
      </w:r>
      <w:r>
        <w:rPr/>
        <w:t xml:space="preserve"> hacen que cada </w:t>
      </w:r>
      <w:r>
        <w:rPr>
          <w:rFonts w:ascii="Consolas" w:hAnsi="Consolas"/>
          <w:b w:val="0"/>
          <w:color w:val="8B1E3F"/>
          <w:sz w:val="19"/>
        </w:rPr>
        <w:t>&lt;label htmlFor&gt;</w:t>
      </w:r>
      <w:r>
        <w:rPr/>
        <w:t xml:space="preserve"> quede </w:t>
      </w:r>
      <w:r>
        <w:rPr>
          <w:b/>
        </w:rPr>
        <w:t>asociado</w:t>
      </w:r>
      <w:r>
        <w:rPr/>
        <w:t xml:space="preserve"> a su campo (antes el </w:t>
      </w:r>
      <w:r>
        <w:rPr>
          <w:rFonts w:ascii="Consolas" w:hAnsi="Consolas"/>
          <w:b w:val="0"/>
          <w:color w:val="8B1E3F"/>
          <w:sz w:val="19"/>
        </w:rPr>
        <w:t>htmlFor</w:t>
      </w:r>
      <w:r>
        <w:rPr/>
        <w:t xml:space="preserve"> apuntaba a </w:t>
      </w:r>
      <w:r>
        <w:rPr>
          <w:rFonts w:ascii="Consolas" w:hAnsi="Consolas"/>
          <w:b w:val="0"/>
          <w:color w:val="8B1E3F"/>
          <w:sz w:val="19"/>
        </w:rPr>
        <w:t>undefined</w:t>
      </w:r>
      <w:r>
        <w:rPr/>
        <w:t>), lo que mejora la accesibilidad. Las 257 pruebas unitarias del frontend siguen en verde.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9. Sincronización: problemas encontrados y cómo se resolvieron</w:t>
      </w:r>
    </w:p>
    <w:p>
      <w:r>
        <w:rPr/>
        <w:t xml:space="preserve">Una E2E confiable no puede depender de </w:t>
      </w:r>
      <w:r>
        <w:rPr>
          <w:rFonts w:ascii="Consolas" w:hAnsi="Consolas"/>
          <w:b w:val="0"/>
          <w:color w:val="8B1E3F"/>
          <w:sz w:val="19"/>
        </w:rPr>
        <w:t>sleep</w:t>
      </w:r>
      <w:r>
        <w:rPr/>
        <w:t>. Durante la construcción aparecieron cinco fuentes de inestabilidad; todas se resolvieron con esperas por condición o con márgenes explícitos: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9"/>
        <w:gridCol w:w="2115"/>
        <w:gridCol w:w="3676"/>
      </w:tblGrid>
      <w:tr>
        <w:trPr>
          <w:cantSplit w:val="true"/>
          <w:tblHeader w:val="true"/>
        </w:trPr>
        <w:tc>
          <w:tcPr>
            <w:tcW w:type="dxa" w:w="284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Síntoma</w:t>
            </w:r>
          </w:p>
        </w:tc>
        <w:tc>
          <w:tcPr>
            <w:tcW w:type="dxa" w:w="211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Causa</w:t>
            </w:r>
          </w:p>
        </w:tc>
        <w:tc>
          <w:tcPr>
            <w:tcW w:type="dxa" w:w="367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Solución</w:t>
            </w:r>
          </w:p>
        </w:tc>
      </w:tr>
      <w:tr>
        <w:trPr>
          <w:cantSplit w:val="true"/>
        </w:trPr>
        <w:tc>
          <w:tcPr>
            <w:tcW w:type="dxa" w:w="284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El primer login de la corrida no llegaba 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/profile</w:t>
            </w:r>
          </w:p>
        </w:tc>
        <w:tc>
          <w:tcPr>
            <w:tcW w:type="dxa" w:w="2115"/>
          </w:tcPr>
          <w:p>
            <w:pPr>
              <w:spacing w:after="0"/>
              <w:jc w:val="left"/>
            </w:pPr>
            <w:r>
              <w:rPr>
                <w:sz w:val="19"/>
              </w:rPr>
              <w:t>El clic ocurría antes de que React hidratara la página: el formulario se enviaba de forma nativa</w:t>
            </w:r>
          </w:p>
        </w:tc>
        <w:tc>
          <w:tcPr>
            <w:tcW w:type="dxa" w:w="367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Navegación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waitUntil: 'networkidle'</w:t>
            </w:r>
          </w:p>
        </w:tc>
      </w:tr>
      <w:tr>
        <w:trPr>
          <w:cantSplit w:val="true"/>
        </w:trPr>
        <w:tc>
          <w:tcPr>
            <w:tcW w:type="dxa" w:w="284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Wait.until(tarjeta, isVisible())</w:t>
            </w:r>
            <w:r>
              <w:rPr>
                <w:sz w:val="19"/>
              </w:rPr>
              <w:t xml:space="preserve"> agotaba el tiempo</w:t>
            </w:r>
          </w:p>
        </w:tc>
        <w:tc>
          <w:tcPr>
            <w:tcW w:type="dxa" w:w="211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En Serenity/JS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isVisible</w:t>
            </w:r>
            <w:r>
              <w:rPr>
                <w:sz w:val="19"/>
              </w:rPr>
              <w:t xml:space="preserve"> exige que el elemento esté </w:t>
            </w:r>
            <w:r>
              <w:rPr>
                <w:b/>
                <w:sz w:val="19"/>
              </w:rPr>
              <w:t>dentro del viewport</w:t>
            </w:r>
            <w:r>
              <w:rPr>
                <w:sz w:val="19"/>
              </w:rPr>
              <w:t>, y la lista de bolsillos queda bajo los formularios</w:t>
            </w:r>
          </w:p>
        </w:tc>
        <w:tc>
          <w:tcPr>
            <w:tcW w:type="dxa" w:w="367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isPresent()</w:t>
            </w:r>
            <w:r>
              <w:rPr>
                <w:sz w:val="19"/>
              </w:rPr>
              <w:t xml:space="preserve"> para esperar;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Click</w:t>
            </w:r>
            <w:r>
              <w:rPr>
                <w:sz w:val="19"/>
              </w:rPr>
              <w:t xml:space="preserve"> hace </w:t>
            </w:r>
            <w:r>
              <w:rPr>
                <w:i/>
                <w:sz w:val="19"/>
              </w:rPr>
              <w:t>scroll</w:t>
            </w:r>
            <w:r>
              <w:rPr>
                <w:sz w:val="19"/>
              </w:rPr>
              <w:t xml:space="preserve"> automáticamente</w:t>
            </w:r>
          </w:p>
        </w:tc>
      </w:tr>
      <w:tr>
        <w:trPr>
          <w:cantSplit w:val="true"/>
        </w:trPr>
        <w:tc>
          <w:tcPr>
            <w:tcW w:type="dxa" w:w="2849"/>
          </w:tcPr>
          <w:p>
            <w:pPr>
              <w:spacing w:after="0"/>
              <w:jc w:val="left"/>
            </w:pPr>
            <w:r>
              <w:rPr>
                <w:sz w:val="19"/>
              </w:rPr>
              <w:t>"Crear bolsillo" mostraba "Falta información"</w:t>
            </w:r>
          </w:p>
        </w:tc>
        <w:tc>
          <w:tcPr>
            <w:tcW w:type="dxa" w:w="2115"/>
          </w:tcPr>
          <w:p>
            <w:pPr>
              <w:spacing w:after="0"/>
              <w:jc w:val="left"/>
            </w:pPr>
            <w:r>
              <w:rPr>
                <w:sz w:val="19"/>
              </w:rPr>
              <w:t>La cuenta del selector se carga de forma asíncrona</w:t>
            </w:r>
          </w:p>
        </w:tc>
        <w:tc>
          <w:tcPr>
            <w:tcW w:type="dxa" w:w="367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Wait.until(Value.of(selector de cuenta), not(equals('')))</w:t>
            </w:r>
          </w:p>
        </w:tc>
      </w:tr>
      <w:tr>
        <w:trPr>
          <w:cantSplit w:val="true"/>
        </w:trPr>
        <w:tc>
          <w:tcPr>
            <w:tcW w:type="dxa" w:w="284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La lista llegaba como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[Mercado, Vacaciones]</w:t>
            </w:r>
          </w:p>
        </w:tc>
        <w:tc>
          <w:tcPr>
            <w:tcW w:type="dxa" w:w="2115"/>
          </w:tcPr>
          <w:p>
            <w:pPr>
              <w:spacing w:after="0"/>
              <w:jc w:val="left"/>
            </w:pPr>
            <w:r>
              <w:rPr>
                <w:sz w:val="19"/>
              </w:rPr>
              <w:t>El orden lo decide el backend (más reciente primero)</w:t>
            </w:r>
          </w:p>
        </w:tc>
        <w:tc>
          <w:tcPr>
            <w:tcW w:type="dxa" w:w="367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Comparar los nombres </w:t>
            </w:r>
            <w:r>
              <w:rPr>
                <w:b/>
                <w:sz w:val="19"/>
              </w:rPr>
              <w:t>ordenados</w:t>
            </w:r>
            <w:r>
              <w:rPr>
                <w:sz w:val="19"/>
              </w:rPr>
              <w:t xml:space="preserve">: el escenario verifica </w:t>
            </w:r>
            <w:r>
              <w:rPr>
                <w:i/>
                <w:sz w:val="19"/>
              </w:rPr>
              <w:t>qué</w:t>
            </w:r>
            <w:r>
              <w:rPr>
                <w:sz w:val="19"/>
              </w:rPr>
              <w:t xml:space="preserve"> bolsillos hay, no su orden</w:t>
            </w:r>
          </w:p>
        </w:tc>
      </w:tr>
      <w:tr>
        <w:trPr>
          <w:cantSplit w:val="true"/>
        </w:trPr>
        <w:tc>
          <w:tcPr>
            <w:tcW w:type="dxa" w:w="284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Un escenario quedó </w:t>
            </w:r>
            <w:r>
              <w:rPr>
                <w:i/>
                <w:sz w:val="19"/>
              </w:rPr>
              <w:t>comprometido</w:t>
            </w:r>
            <w:r>
              <w:rPr>
                <w:sz w:val="19"/>
              </w:rPr>
              <w:t xml:space="preserve"> al preparar datos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POST /accounts</w:t>
            </w:r>
            <w:r>
              <w:rPr>
                <w:sz w:val="19"/>
              </w:rPr>
              <w:t xml:space="preserve"> &gt; 10 s)</w:t>
            </w:r>
          </w:p>
        </w:tc>
        <w:tc>
          <w:tcPr>
            <w:tcW w:type="dxa" w:w="211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Latencia ocasional de Supabase frente al </w:t>
            </w:r>
            <w:r>
              <w:rPr>
                <w:i/>
                <w:sz w:val="19"/>
              </w:rPr>
              <w:t>timeout</w:t>
            </w:r>
            <w:r>
              <w:rPr>
                <w:sz w:val="19"/>
              </w:rPr>
              <w:t xml:space="preserve"> por defecto de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CallAnApi</w:t>
            </w:r>
            <w:r>
              <w:rPr>
                <w:sz w:val="19"/>
              </w:rPr>
              <w:t xml:space="preserve"> (10 s)</w:t>
            </w:r>
          </w:p>
        </w:tc>
        <w:tc>
          <w:tcPr>
            <w:tcW w:type="dxa" w:w="367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CallAnApi.using({ baseURL, timeout: 30_000 })</w:t>
            </w:r>
          </w:p>
        </w:tc>
      </w:tr>
    </w:tbl>
    <w:p>
      <w:pPr>
        <w:spacing w:after="40"/>
      </w:pPr>
    </w:p>
    <w:p>
      <w:r>
        <w:rPr/>
        <w:t xml:space="preserve">Además, las verificaciones en pantalla usan </w:t>
      </w:r>
      <w:r>
        <w:rPr>
          <w:rFonts w:ascii="Consolas" w:hAnsi="Consolas"/>
          <w:b w:val="0"/>
          <w:color w:val="8B1E3F"/>
          <w:sz w:val="19"/>
        </w:rPr>
        <w:t>Ensure.eventually</w:t>
      </w:r>
      <w:r>
        <w:rPr/>
        <w:t xml:space="preserve"> (reintenta hasta 15 s), porque las notificaciones y los saldos se actualizan después de la respuesta HTTP.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10. Hallazgos</w:t>
      </w:r>
    </w:p>
    <w:p>
      <w:pPr>
        <w:pStyle w:val="Heading2"/>
      </w:pPr>
      <w:r>
        <w:rPr/>
        <w:t>10.1 E2E-01 — Sin "Recordarme" la aplicación no envía el token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6664"/>
      </w:tblGrid>
      <w:tr>
        <w:trPr>
          <w:cantSplit w:val="true"/>
          <w:tblHeader w:val="true"/>
        </w:trPr>
        <w:tc>
          <w:tcPr>
            <w:tcW w:type="dxa" w:w="197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666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1976"/>
          </w:tcPr>
          <w:p>
            <w:pPr>
              <w:spacing w:after="0"/>
              <w:jc w:val="left"/>
            </w:pPr>
            <w:r>
              <w:rPr>
                <w:sz w:val="19"/>
              </w:rPr>
              <w:t>Severidad</w:t>
            </w:r>
          </w:p>
        </w:tc>
        <w:tc>
          <w:tcPr>
            <w:tcW w:type="dxa" w:w="666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Alta</w:t>
            </w:r>
            <w:r>
              <w:rPr>
                <w:sz w:val="19"/>
              </w:rPr>
              <w:t>: bloquea las funcionalidades para el inicio de sesión por defecto</w:t>
            </w:r>
          </w:p>
        </w:tc>
      </w:tr>
      <w:tr>
        <w:trPr>
          <w:cantSplit w:val="true"/>
        </w:trPr>
        <w:tc>
          <w:tcPr>
            <w:tcW w:type="dxa" w:w="1976"/>
          </w:tcPr>
          <w:p>
            <w:pPr>
              <w:spacing w:after="0"/>
              <w:jc w:val="left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666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frontend/src/shared/services/api.client.ts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frontend/src/shared/hooks/useAuth.tsx</w:t>
            </w:r>
          </w:p>
        </w:tc>
      </w:tr>
      <w:tr>
        <w:trPr>
          <w:cantSplit w:val="true"/>
        </w:trPr>
        <w:tc>
          <w:tcPr>
            <w:tcW w:type="dxa" w:w="1976"/>
          </w:tcPr>
          <w:p>
            <w:pPr>
              <w:spacing w:after="0"/>
              <w:jc w:val="left"/>
            </w:pPr>
            <w:r>
              <w:rPr>
                <w:sz w:val="19"/>
              </w:rPr>
              <w:t>Detectado por</w:t>
            </w:r>
          </w:p>
        </w:tc>
        <w:tc>
          <w:tcPr>
            <w:tcW w:type="dxa" w:w="666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Los 9 escenarios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@web</w:t>
            </w:r>
            <w:r>
              <w:rPr>
                <w:sz w:val="19"/>
              </w:rPr>
              <w:t xml:space="preserve"> (primera ejecución)</w:t>
            </w:r>
          </w:p>
        </w:tc>
      </w:tr>
      <w:tr>
        <w:trPr>
          <w:cantSplit w:val="true"/>
        </w:trPr>
        <w:tc>
          <w:tcPr>
            <w:tcW w:type="dxa" w:w="1976"/>
          </w:tcPr>
          <w:p>
            <w:pPr>
              <w:spacing w:after="0"/>
              <w:jc w:val="left"/>
            </w:pPr>
            <w:r>
              <w:rPr>
                <w:sz w:val="19"/>
              </w:rPr>
              <w:t>Estado</w:t>
            </w:r>
          </w:p>
        </w:tc>
        <w:tc>
          <w:tcPr>
            <w:tcW w:type="dxa" w:w="666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 xml:space="preserve">Corregido en </w:t>
            </w:r>
            <w:r>
              <w:rPr>
                <w:rFonts w:ascii="Consolas" w:hAnsi="Consolas"/>
                <w:b/>
                <w:color w:val="8B1E3F"/>
                <w:sz w:val="17"/>
              </w:rPr>
              <w:t>dev</w:t>
            </w:r>
            <w:r>
              <w:rPr>
                <w:sz w:val="19"/>
              </w:rPr>
              <w:t xml:space="preserve"> (commit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365171d</w:t>
            </w:r>
            <w:r>
              <w:rPr>
                <w:sz w:val="19"/>
              </w:rPr>
              <w:t>); la suite queda como regresión</w:t>
            </w:r>
          </w:p>
        </w:tc>
      </w:tr>
    </w:tbl>
    <w:p>
      <w:pPr>
        <w:spacing w:after="40"/>
      </w:pPr>
    </w:p>
    <w:p>
      <w:r>
        <w:rPr>
          <w:b/>
        </w:rPr>
        <w:t>Comportamiento observado.</w:t>
      </w:r>
      <w:r>
        <w:rPr/>
        <w:t xml:space="preserve"> Tras iniciar sesión sin marcar "Recordarme", la pantalla de bolsillos mostraba "No tienes cuentas creadas" y la de cuentas no mostraba ninguna tarjeta, aunque el cliente sí tenía cuenta y saldo (verificado por API en el mismo escenario).</w:t>
      </w:r>
    </w:p>
    <w:p>
      <w:r>
        <w:rPr>
          <w:b/>
        </w:rPr>
        <w:t>Causa raíz.</w:t>
      </w:r>
      <w:r>
        <w:rPr/>
        <w:t xml:space="preserve"> El inicio de sesión guarda el token según la casilla, pero el cliente HTTP solo lo leía de un lugar: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// useAuth.tsx — login()</w:t>
        <w:br/>
      </w:r>
      <w:r>
        <w:rPr>
          <w:rFonts w:ascii="Consolas" w:hAnsi="Consolas" w:eastAsia="Consolas"/>
          <w:sz w:val="17"/>
        </w:rPr>
        <w:t>if (rememberMe) localStorage.setItem('token', newToken);</w:t>
        <w:br/>
      </w:r>
      <w:r>
        <w:rPr>
          <w:rFonts w:ascii="Consolas" w:hAnsi="Consolas" w:eastAsia="Consolas"/>
          <w:sz w:val="17"/>
        </w:rPr>
        <w:t>else            sessionStorage.setItem('token', newToken);   // opción por defecto</w:t>
        <w:br/>
      </w:r>
      <w:r>
        <w:rPr>
          <w:rFonts w:ascii="Consolas" w:hAnsi="Consolas" w:eastAsia="Consolas"/>
          <w:sz w:val="17"/>
        </w:rPr>
        <w:t xml:space="preserve"> </w:t>
        <w:br/>
      </w:r>
      <w:r>
        <w:rPr>
          <w:rFonts w:ascii="Consolas" w:hAnsi="Consolas" w:eastAsia="Consolas"/>
          <w:sz w:val="17"/>
        </w:rPr>
        <w:t>// api.client.ts — interceptor (versión con el defecto)</w:t>
        <w:br/>
      </w:r>
      <w:r>
        <w:rPr>
          <w:rFonts w:ascii="Consolas" w:hAnsi="Consolas" w:eastAsia="Consolas"/>
          <w:sz w:val="17"/>
        </w:rPr>
        <w:t>const token = localStorage.getItem('token');                  // nunca mira sessionStorage</w:t>
        <w:br/>
      </w:r>
      <w:r>
        <w:rPr>
          <w:rFonts w:ascii="Consolas" w:hAnsi="Consolas" w:eastAsia="Consolas"/>
          <w:sz w:val="17"/>
        </w:rPr>
        <w:t>if (token) config.headers.Authorization = `Bearer ${token}`;</w:t>
      </w:r>
    </w:p>
    <w:p>
      <w:r>
        <w:rPr/>
        <w:t xml:space="preserve">Sin </w:t>
      </w:r>
      <w:r>
        <w:rPr>
          <w:rFonts w:ascii="Consolas" w:hAnsi="Consolas"/>
          <w:b w:val="0"/>
          <w:color w:val="8B1E3F"/>
          <w:sz w:val="19"/>
        </w:rPr>
        <w:t>Authorization</w:t>
      </w:r>
      <w:r>
        <w:rPr/>
        <w:t xml:space="preserve">, el backend responde 401 a </w:t>
      </w:r>
      <w:r>
        <w:rPr>
          <w:rFonts w:ascii="Consolas" w:hAnsi="Consolas"/>
          <w:b w:val="0"/>
          <w:color w:val="8B1E3F"/>
          <w:sz w:val="19"/>
        </w:rPr>
        <w:t>GET /accounts/me</w:t>
      </w:r>
      <w:r>
        <w:rPr/>
        <w:t xml:space="preserve"> y a </w:t>
      </w:r>
      <w:r>
        <w:rPr>
          <w:rFonts w:ascii="Consolas" w:hAnsi="Consolas"/>
          <w:b w:val="0"/>
          <w:color w:val="8B1E3F"/>
          <w:sz w:val="19"/>
        </w:rPr>
        <w:t>GET /pockets/account/:id</w:t>
      </w:r>
      <w:r>
        <w:rPr/>
        <w:t xml:space="preserve">. La navegación sí funcionaba porque </w:t>
      </w:r>
      <w:r>
        <w:rPr>
          <w:rFonts w:ascii="Consolas" w:hAnsi="Consolas"/>
          <w:b w:val="0"/>
          <w:color w:val="8B1E3F"/>
          <w:sz w:val="19"/>
        </w:rPr>
        <w:t>middleware.ts</w:t>
      </w:r>
      <w:r>
        <w:rPr/>
        <w:t xml:space="preserve"> revisa la </w:t>
      </w:r>
      <w:r>
        <w:rPr>
          <w:i/>
        </w:rPr>
        <w:t>cookie</w:t>
      </w:r>
      <w:r>
        <w:rPr/>
        <w:t xml:space="preserve"> </w:t>
      </w:r>
      <w:r>
        <w:rPr>
          <w:rFonts w:ascii="Consolas" w:hAnsi="Consolas"/>
          <w:b w:val="0"/>
          <w:color w:val="8B1E3F"/>
          <w:sz w:val="19"/>
        </w:rPr>
        <w:t>token</w:t>
      </w:r>
      <w:r>
        <w:rPr/>
        <w:t>, que se escribe en ambos casos: por eso el defecto parecía un problema de datos y no de sesión.</w:t>
      </w:r>
    </w:p>
    <w:p>
      <w:r>
        <w:rPr>
          <w:b/>
        </w:rPr>
        <w:t>Por qué no lo vieron las otras suites.</w:t>
      </w:r>
      <w:r>
        <w:rPr/>
        <w:t xml:space="preserve"> Las pruebas de API envían el token directamente y las pruebas de componentes simulan el servicio. Solo una prueba que inicia sesión en un navegador real y luego usa la aplicación puede observar la integración entre </w:t>
      </w:r>
      <w:r>
        <w:rPr>
          <w:rFonts w:ascii="Consolas" w:hAnsi="Consolas"/>
          <w:b w:val="0"/>
          <w:color w:val="8B1E3F"/>
          <w:sz w:val="19"/>
        </w:rPr>
        <w:t>useAuth</w:t>
      </w:r>
      <w:r>
        <w:rPr/>
        <w:t xml:space="preserve"> y </w:t>
      </w:r>
      <w:r>
        <w:rPr>
          <w:rFonts w:ascii="Consolas" w:hAnsi="Consolas"/>
          <w:b w:val="0"/>
          <w:color w:val="8B1E3F"/>
          <w:sz w:val="19"/>
        </w:rPr>
        <w:t>api.client</w:t>
      </w:r>
      <w:r>
        <w:rPr/>
        <w:t>.</w:t>
      </w:r>
    </w:p>
    <w:p>
      <w:r>
        <w:rPr>
          <w:b/>
        </w:rPr>
        <w:t>Evidencia.</w:t>
      </w:r>
      <w:r>
        <w:rPr/>
        <w:t xml:space="preserve"> Con el defecto, 9 de 9 escenarios web fallaban esperando la cuenta del cliente (el inicio de sesión sí llegaba a </w:t>
      </w:r>
      <w:r>
        <w:rPr>
          <w:rFonts w:ascii="Consolas" w:hAnsi="Consolas"/>
          <w:b w:val="0"/>
          <w:color w:val="8B1E3F"/>
          <w:sz w:val="19"/>
        </w:rPr>
        <w:t>/profile</w:t>
      </w:r>
      <w:r>
        <w:rPr/>
        <w:t>). Marcando "Recordarme" como contramedida temporal, y una vez resuelta la sincronización de la sección 9, los 9 pasaban: la única variable era dónde quedaba el token (</w:t>
      </w:r>
      <w:r>
        <w:rPr>
          <w:rFonts w:ascii="Consolas" w:hAnsi="Consolas"/>
          <w:b w:val="0"/>
          <w:color w:val="8B1E3F"/>
          <w:sz w:val="19"/>
        </w:rPr>
        <w:t>02-defecto-E2E-01.txt</w:t>
      </w:r>
      <w:r>
        <w:rPr/>
        <w:t xml:space="preserve">). Sobre </w:t>
      </w:r>
      <w:r>
        <w:rPr>
          <w:rFonts w:ascii="Consolas" w:hAnsi="Consolas"/>
          <w:b w:val="0"/>
          <w:color w:val="8B1E3F"/>
          <w:sz w:val="19"/>
        </w:rPr>
        <w:t>dev</w:t>
      </w:r>
      <w:r>
        <w:rPr/>
        <w:t>, sin la contramedida, pasan los 9.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2e-01-reintroduc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8. E2E-01 reintroducido (mutación M1): la sesión está activa ("Hola, Ana"), pero la pantalla dice "No tienes cuentas creadas" porque la API respondió 401.</w:t>
      </w:r>
    </w:p>
    <w:p>
      <w:r>
        <w:rPr>
          <w:b/>
        </w:rPr>
        <w:t xml:space="preserve">Corrección (en </w:t>
      </w:r>
      <w:r>
        <w:rPr>
          <w:rFonts w:ascii="Consolas" w:hAnsi="Consolas"/>
          <w:b/>
          <w:color w:val="8B1E3F"/>
          <w:sz w:val="19"/>
        </w:rPr>
        <w:t>dev</w:t>
      </w:r>
      <w:r>
        <w:rPr>
          <w:b/>
        </w:rPr>
        <w:t>).</w:t>
      </w:r>
      <w:r>
        <w:rPr/>
        <w:t xml:space="preserve"> </w:t>
      </w:r>
      <w:r>
        <w:rPr>
          <w:rFonts w:ascii="Consolas" w:hAnsi="Consolas"/>
          <w:b w:val="0"/>
          <w:color w:val="8B1E3F"/>
          <w:sz w:val="19"/>
        </w:rPr>
        <w:t>getAuthToken()</w:t>
      </w:r>
      <w:r>
        <w:rPr/>
        <w:t xml:space="preserve"> busca el token en </w:t>
      </w:r>
      <w:r>
        <w:rPr>
          <w:rFonts w:ascii="Consolas" w:hAnsi="Consolas"/>
          <w:b w:val="0"/>
          <w:color w:val="8B1E3F"/>
          <w:sz w:val="19"/>
        </w:rPr>
        <w:t>localStorage</w:t>
      </w:r>
      <w:r>
        <w:rPr/>
        <w:t xml:space="preserve">, luego en </w:t>
      </w:r>
      <w:r>
        <w:rPr>
          <w:rFonts w:ascii="Consolas" w:hAnsi="Consolas"/>
          <w:b w:val="0"/>
          <w:color w:val="8B1E3F"/>
          <w:sz w:val="19"/>
        </w:rPr>
        <w:t>sessionStorage</w:t>
      </w:r>
      <w:r>
        <w:rPr/>
        <w:t xml:space="preserve"> y por último en la cookie. Al integrar la rama se retiró la contramedida: la tarea </w:t>
      </w:r>
      <w:r>
        <w:rPr>
          <w:rFonts w:ascii="Consolas" w:hAnsi="Consolas"/>
          <w:b w:val="0"/>
          <w:color w:val="8B1E3F"/>
          <w:sz w:val="19"/>
        </w:rPr>
        <w:t>SignIn</w:t>
      </w:r>
      <w:r>
        <w:rPr/>
        <w:t xml:space="preserve"> ya </w:t>
      </w:r>
      <w:r>
        <w:rPr>
          <w:b/>
        </w:rPr>
        <w:t>no</w:t>
      </w:r>
      <w:r>
        <w:rPr/>
        <w:t xml:space="preserve"> marca "Recordarme", como un usuario real, y así los 9 escenarios web vigilan que el defecto no reaparezca. La mutación M1 (sección 12) lo comprueba: al volver a leer solo </w:t>
      </w:r>
      <w:r>
        <w:rPr>
          <w:rFonts w:ascii="Consolas" w:hAnsi="Consolas"/>
          <w:b w:val="0"/>
          <w:color w:val="8B1E3F"/>
          <w:sz w:val="19"/>
        </w:rPr>
        <w:t>localStorage</w:t>
      </w:r>
      <w:r>
        <w:rPr/>
        <w:t>, la suite falla.</w:t>
      </w:r>
    </w:p>
    <w:p>
      <w:pPr>
        <w:pStyle w:val="Heading2"/>
      </w:pPr>
      <w:r>
        <w:rPr/>
        <w:t>10.2 Relación con defectos conocidos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6"/>
        <w:gridCol w:w="2145"/>
        <w:gridCol w:w="3629"/>
      </w:tblGrid>
      <w:tr>
        <w:trPr>
          <w:cantSplit w:val="true"/>
          <w:tblHeader w:val="true"/>
        </w:trPr>
        <w:tc>
          <w:tcPr>
            <w:tcW w:type="dxa" w:w="286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Defecto</w:t>
            </w:r>
          </w:p>
        </w:tc>
        <w:tc>
          <w:tcPr>
            <w:tcW w:type="dxa" w:w="214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Estado según la regresión</w:t>
            </w:r>
          </w:p>
        </w:tc>
        <w:tc>
          <w:tcPr>
            <w:tcW w:type="dxa" w:w="362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Observación E2E</w:t>
            </w:r>
          </w:p>
        </w:tc>
      </w:tr>
      <w:tr>
        <w:trPr>
          <w:cantSplit w:val="true"/>
        </w:trPr>
        <w:tc>
          <w:tcPr>
            <w:tcW w:type="dxa" w:w="286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D-02 / SEC-03 —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true</w:t>
            </w:r>
            <w:r>
              <w:rPr>
                <w:sz w:val="19"/>
              </w:rPr>
              <w:t xml:space="preserve"> como monto al crear</w:t>
            </w:r>
          </w:p>
        </w:tc>
        <w:tc>
          <w:tcPr>
            <w:tcW w:type="dxa" w:w="2145"/>
          </w:tcPr>
          <w:p>
            <w:pPr>
              <w:spacing w:after="0"/>
              <w:jc w:val="left"/>
            </w:pPr>
            <w:r>
              <w:rPr>
                <w:sz w:val="19"/>
              </w:rPr>
              <w:t>Corregido</w:t>
            </w:r>
          </w:p>
        </w:tc>
        <w:tc>
          <w:tcPr>
            <w:tcW w:type="dxa" w:w="3629"/>
          </w:tcPr>
          <w:p>
            <w:pPr>
              <w:spacing w:after="0"/>
              <w:jc w:val="left"/>
            </w:pPr>
            <w:r>
              <w:rPr>
                <w:sz w:val="19"/>
              </w:rPr>
              <w:t>El contrato de validación se verifica con montos negativos y vacíos (E2E-CR-03/04)</w:t>
            </w:r>
          </w:p>
        </w:tc>
      </w:tr>
      <w:tr>
        <w:trPr>
          <w:cantSplit w:val="true"/>
        </w:trPr>
        <w:tc>
          <w:tcPr>
            <w:tcW w:type="dxa" w:w="286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D-08 / SEC-04 —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true</w:t>
            </w:r>
            <w:r>
              <w:rPr>
                <w:sz w:val="19"/>
              </w:rPr>
              <w:t xml:space="preserve"> como monto al depositar</w:t>
            </w:r>
          </w:p>
        </w:tc>
        <w:tc>
          <w:tcPr>
            <w:tcW w:type="dxa" w:w="2145"/>
          </w:tcPr>
          <w:p>
            <w:pPr>
              <w:spacing w:after="0"/>
              <w:jc w:val="left"/>
            </w:pPr>
            <w:r>
              <w:rPr>
                <w:sz w:val="19"/>
              </w:rPr>
              <w:t>Corregido</w:t>
            </w:r>
          </w:p>
        </w:tc>
        <w:tc>
          <w:tcPr>
            <w:tcW w:type="dxa" w:w="362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Confirmado </w:t>
            </w:r>
            <w:r>
              <w:rPr>
                <w:b/>
                <w:sz w:val="19"/>
              </w:rPr>
              <w:t>contra el sistema real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true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"abc"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null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[1000]</w:t>
            </w:r>
            <w:r>
              <w:rPr>
                <w:sz w:val="19"/>
              </w:rPr>
              <w:t xml:space="preserve"> → 400 sin mover el saldo (E2E-DE-05 a 08)</w:t>
            </w:r>
          </w:p>
        </w:tc>
      </w:tr>
      <w:tr>
        <w:trPr>
          <w:cantSplit w:val="true"/>
        </w:trPr>
        <w:tc>
          <w:tcPr>
            <w:tcW w:type="dxa" w:w="2866"/>
          </w:tcPr>
          <w:p>
            <w:pPr>
              <w:spacing w:after="0"/>
              <w:jc w:val="left"/>
            </w:pPr>
            <w:r>
              <w:rPr>
                <w:sz w:val="19"/>
              </w:rPr>
              <w:t>D-05 — Lo apartado se cuenta dos veces al crear</w:t>
            </w:r>
          </w:p>
        </w:tc>
        <w:tc>
          <w:tcPr>
            <w:tcW w:type="dxa" w:w="2145"/>
          </w:tcPr>
          <w:p>
            <w:pPr>
              <w:spacing w:after="0"/>
              <w:jc w:val="left"/>
            </w:pPr>
            <w:r>
              <w:rPr>
                <w:sz w:val="19"/>
              </w:rPr>
              <w:t>Abierto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it.fails</w:t>
            </w:r>
            <w:r>
              <w:rPr>
                <w:sz w:val="19"/>
              </w:rPr>
              <w:t xml:space="preserve"> RG-CR-D05)</w:t>
            </w:r>
          </w:p>
        </w:tc>
        <w:tc>
          <w:tcPr>
            <w:tcW w:type="dxa" w:w="3629"/>
          </w:tcPr>
          <w:p>
            <w:pPr>
              <w:spacing w:after="0"/>
              <w:jc w:val="left"/>
            </w:pPr>
            <w:r>
              <w:rPr>
                <w:sz w:val="19"/>
              </w:rPr>
              <w:t>Los datos de la suite no lo disparan (100000 + 50000 sobre 500000). Se deja en la suite de regresión para no tener una E2E en rojo permanente</w:t>
            </w:r>
          </w:p>
        </w:tc>
      </w:tr>
      <w:tr>
        <w:trPr>
          <w:cantSplit w:val="true"/>
        </w:trPr>
        <w:tc>
          <w:tcPr>
            <w:tcW w:type="dxa" w:w="2866"/>
          </w:tcPr>
          <w:p>
            <w:pPr>
              <w:spacing w:after="0"/>
              <w:jc w:val="left"/>
            </w:pPr>
            <w:r>
              <w:rPr>
                <w:sz w:val="19"/>
              </w:rPr>
              <w:t>D-01/D-03, D-04</w:t>
            </w:r>
          </w:p>
        </w:tc>
        <w:tc>
          <w:tcPr>
            <w:tcW w:type="dxa" w:w="2145"/>
          </w:tcPr>
          <w:p>
            <w:pPr>
              <w:spacing w:after="0"/>
              <w:jc w:val="left"/>
            </w:pPr>
            <w:r>
              <w:rPr>
                <w:sz w:val="19"/>
              </w:rPr>
              <w:t>Abiertos</w:t>
            </w:r>
          </w:p>
        </w:tc>
        <w:tc>
          <w:tcPr>
            <w:tcW w:type="dxa" w:w="3629"/>
          </w:tcPr>
          <w:p>
            <w:pPr>
              <w:spacing w:after="0"/>
              <w:jc w:val="left"/>
            </w:pPr>
            <w:r>
              <w:rPr>
                <w:sz w:val="19"/>
              </w:rPr>
              <w:t>Fuera de los datos de esta suite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10.3 Observaciones</w:t>
      </w:r>
    </w:p>
    <w:p>
      <w:pPr>
        <w:pStyle w:val="ListBullet"/>
        <w:spacing w:after="60"/>
      </w:pPr>
      <w:r>
        <w:rPr>
          <w:b/>
        </w:rPr>
        <w:t xml:space="preserve">Tabla </w:t>
      </w:r>
      <w:r>
        <w:rPr>
          <w:rFonts w:ascii="Consolas" w:hAnsi="Consolas"/>
          <w:b/>
          <w:color w:val="8B1E3F"/>
          <w:sz w:val="19"/>
        </w:rPr>
        <w:t>pockets</w:t>
      </w:r>
      <w:r>
        <w:rPr>
          <w:b/>
        </w:rPr>
        <w:t>.</w:t>
      </w:r>
      <w:r>
        <w:rPr/>
        <w:t xml:space="preserve"> Si no existe en Supabase, el backend guarda los bolsillos en memoria. La suite no se ve afectada (cada escenario crea los suyos), pero un reinicio del backend a mitad de corrida haría fallar los escenarios en curso.</w:t>
      </w:r>
    </w:p>
    <w:p>
      <w:pPr>
        <w:pStyle w:val="ListBullet"/>
        <w:spacing w:after="60"/>
      </w:pPr>
      <w:r>
        <w:rPr>
          <w:b/>
        </w:rPr>
        <w:t>Mensajes de toast sin tilde</w:t>
      </w:r>
      <w:r>
        <w:rPr/>
        <w:t xml:space="preserve"> ("Deposito realizado"). Se verifican tal como están; corregirlos exige actualizar el escenario E2E-DE-10.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11. Resultados</w:t>
      </w:r>
    </w:p>
    <w:p>
      <w:pPr>
        <w:pStyle w:val="Heading2"/>
      </w:pPr>
      <w:r>
        <w:rPr/>
        <w:t xml:space="preserve">11.1 Ejecución completa sobre </w:t>
      </w:r>
      <w:r>
        <w:rPr>
          <w:rFonts w:ascii="Consolas" w:hAnsi="Consolas"/>
          <w:b w:val="0"/>
          <w:color w:val="8B1E3F"/>
          <w:sz w:val="19"/>
        </w:rPr>
        <w:t>dev</w:t>
      </w:r>
    </w:p>
    <w:p>
      <w:r>
        <w:rPr/>
        <w:t xml:space="preserve">Ejecución del 2026-10-10 sobre </w:t>
      </w:r>
      <w:r>
        <w:rPr>
          <w:rFonts w:ascii="Consolas" w:hAnsi="Consolas"/>
          <w:b w:val="0"/>
          <w:color w:val="8B1E3F"/>
          <w:sz w:val="19"/>
        </w:rPr>
        <w:t>dev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38e398e</w:t>
      </w:r>
      <w:r>
        <w:rPr/>
        <w:t xml:space="preserve"> + esta rama), backend y frontend en modo desarrollo, Chromium sin interfaz y captura de </w:t>
      </w:r>
      <w:r>
        <w:rPr>
          <w:b/>
        </w:rPr>
        <w:t>cada</w:t>
      </w:r>
      <w:r>
        <w:rPr/>
        <w:t xml:space="preserve"> interacción (</w:t>
      </w:r>
      <w:r>
        <w:rPr>
          <w:rFonts w:ascii="Consolas" w:hAnsi="Consolas"/>
          <w:b w:val="0"/>
          <w:color w:val="8B1E3F"/>
          <w:sz w:val="19"/>
        </w:rPr>
        <w:t>E2E_PHOTOS=all</w:t>
      </w:r>
      <w:r>
        <w:rPr/>
        <w:t>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4"/>
        <w:gridCol w:w="1805"/>
        <w:gridCol w:w="1595"/>
        <w:gridCol w:w="1686"/>
      </w:tblGrid>
      <w:tr>
        <w:trPr>
          <w:cantSplit w:val="true"/>
          <w:tblHeader w:val="true"/>
        </w:trPr>
        <w:tc>
          <w:tcPr>
            <w:tcW w:type="dxa" w:w="355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type="dxa" w:w="1805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Ejecuciones</w:t>
            </w:r>
          </w:p>
        </w:tc>
        <w:tc>
          <w:tcPr>
            <w:tcW w:type="dxa" w:w="1595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Aprobadas</w:t>
            </w:r>
          </w:p>
        </w:tc>
        <w:tc>
          <w:tcPr>
            <w:tcW w:type="dxa" w:w="168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Duración</w:t>
            </w:r>
          </w:p>
        </w:tc>
      </w:tr>
      <w:tr>
        <w:trPr>
          <w:cantSplit w:val="true"/>
        </w:trPr>
        <w:tc>
          <w:tcPr>
            <w:tcW w:type="dxa" w:w="3554"/>
          </w:tcPr>
          <w:p>
            <w:pPr>
              <w:spacing w:after="0"/>
              <w:jc w:val="left"/>
            </w:pPr>
            <w:r>
              <w:rPr>
                <w:sz w:val="19"/>
              </w:rPr>
              <w:t>Crear bolsillo</w:t>
            </w:r>
          </w:p>
        </w:tc>
        <w:tc>
          <w:tcPr>
            <w:tcW w:type="dxa" w:w="1805"/>
          </w:tcPr>
          <w:p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595"/>
          </w:tcPr>
          <w:p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686"/>
          </w:tcPr>
          <w:p>
            <w:pPr>
              <w:spacing w:after="0"/>
              <w:jc w:val="left"/>
            </w:pPr>
            <w:r>
              <w:rPr>
                <w:sz w:val="19"/>
              </w:rPr>
              <w:t>46,1 s</w:t>
            </w:r>
          </w:p>
        </w:tc>
      </w:tr>
      <w:tr>
        <w:trPr>
          <w:cantSplit w:val="true"/>
        </w:trPr>
        <w:tc>
          <w:tcPr>
            <w:tcW w:type="dxa" w:w="3554"/>
          </w:tcPr>
          <w:p>
            <w:pPr>
              <w:spacing w:after="0"/>
              <w:jc w:val="left"/>
            </w:pPr>
            <w:r>
              <w:rPr>
                <w:sz w:val="19"/>
              </w:rPr>
              <w:t>Consultar bolsillos</w:t>
            </w:r>
          </w:p>
        </w:tc>
        <w:tc>
          <w:tcPr>
            <w:tcW w:type="dxa" w:w="1805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595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686"/>
          </w:tcPr>
          <w:p>
            <w:pPr>
              <w:spacing w:after="0"/>
              <w:jc w:val="left"/>
            </w:pPr>
            <w:r>
              <w:rPr>
                <w:sz w:val="19"/>
              </w:rPr>
              <w:t>40,8 s</w:t>
            </w:r>
          </w:p>
        </w:tc>
      </w:tr>
      <w:tr>
        <w:trPr>
          <w:cantSplit w:val="true"/>
        </w:trPr>
        <w:tc>
          <w:tcPr>
            <w:tcW w:type="dxa" w:w="3554"/>
          </w:tcPr>
          <w:p>
            <w:pPr>
              <w:spacing w:after="0"/>
              <w:jc w:val="left"/>
            </w:pPr>
            <w:r>
              <w:rPr>
                <w:sz w:val="19"/>
              </w:rPr>
              <w:t>Editar bolsillo</w:t>
            </w:r>
          </w:p>
        </w:tc>
        <w:tc>
          <w:tcPr>
            <w:tcW w:type="dxa" w:w="1805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95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686"/>
          </w:tcPr>
          <w:p>
            <w:pPr>
              <w:spacing w:after="0"/>
              <w:jc w:val="left"/>
            </w:pPr>
            <w:r>
              <w:rPr>
                <w:sz w:val="19"/>
              </w:rPr>
              <w:t>40,3 s</w:t>
            </w:r>
          </w:p>
        </w:tc>
      </w:tr>
      <w:tr>
        <w:trPr>
          <w:cantSplit w:val="true"/>
        </w:trPr>
        <w:tc>
          <w:tcPr>
            <w:tcW w:type="dxa" w:w="3554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 bolsillo</w:t>
            </w:r>
          </w:p>
        </w:tc>
        <w:tc>
          <w:tcPr>
            <w:tcW w:type="dxa" w:w="1805"/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595"/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686"/>
          </w:tcPr>
          <w:p>
            <w:pPr>
              <w:spacing w:after="0"/>
              <w:jc w:val="left"/>
            </w:pPr>
            <w:r>
              <w:rPr>
                <w:sz w:val="19"/>
              </w:rPr>
              <w:t>30,1 s</w:t>
            </w:r>
          </w:p>
        </w:tc>
      </w:tr>
      <w:tr>
        <w:trPr>
          <w:cantSplit w:val="true"/>
        </w:trPr>
        <w:tc>
          <w:tcPr>
            <w:tcW w:type="dxa" w:w="3554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 entre bolsillos</w:t>
            </w:r>
          </w:p>
        </w:tc>
        <w:tc>
          <w:tcPr>
            <w:tcW w:type="dxa" w:w="1805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95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686"/>
          </w:tcPr>
          <w:p>
            <w:pPr>
              <w:spacing w:after="0"/>
              <w:jc w:val="left"/>
            </w:pPr>
            <w:r>
              <w:rPr>
                <w:sz w:val="19"/>
              </w:rPr>
              <w:t>45,4 s</w:t>
            </w:r>
          </w:p>
        </w:tc>
      </w:tr>
      <w:tr>
        <w:trPr>
          <w:cantSplit w:val="true"/>
        </w:trPr>
        <w:tc>
          <w:tcPr>
            <w:tcW w:type="dxa" w:w="3554"/>
          </w:tcPr>
          <w:p>
            <w:pPr>
              <w:spacing w:after="0"/>
              <w:jc w:val="left"/>
            </w:pPr>
            <w:r>
              <w:rPr>
                <w:sz w:val="19"/>
              </w:rPr>
              <w:t>Depositar dinero en la cuenta</w:t>
            </w:r>
          </w:p>
        </w:tc>
        <w:tc>
          <w:tcPr>
            <w:tcW w:type="dxa" w:w="1805"/>
          </w:tcPr>
          <w:p>
            <w:pPr>
              <w:spacing w:after="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1595"/>
          </w:tcPr>
          <w:p>
            <w:pPr>
              <w:spacing w:after="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1686"/>
          </w:tcPr>
          <w:p>
            <w:pPr>
              <w:spacing w:after="0"/>
              <w:jc w:val="left"/>
            </w:pPr>
            <w:r>
              <w:rPr>
                <w:sz w:val="19"/>
              </w:rPr>
              <w:t>57,2 s</w:t>
            </w:r>
          </w:p>
        </w:tc>
      </w:tr>
      <w:tr>
        <w:trPr>
          <w:cantSplit w:val="true"/>
        </w:trPr>
        <w:tc>
          <w:tcPr>
            <w:tcW w:type="dxa" w:w="3554"/>
          </w:tcPr>
          <w:p>
            <w:pPr>
              <w:spacing w:after="0"/>
              <w:jc w:val="left"/>
            </w:pPr>
            <w:r>
              <w:rPr>
                <w:sz w:val="19"/>
              </w:rPr>
              <w:t>Recorrido completo de ahorro</w:t>
            </w:r>
          </w:p>
        </w:tc>
        <w:tc>
          <w:tcPr>
            <w:tcW w:type="dxa" w:w="1805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95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686"/>
          </w:tcPr>
          <w:p>
            <w:pPr>
              <w:spacing w:after="0"/>
              <w:jc w:val="left"/>
            </w:pPr>
            <w:r>
              <w:rPr>
                <w:sz w:val="19"/>
              </w:rPr>
              <w:t>14,4 s</w:t>
            </w:r>
          </w:p>
        </w:tc>
      </w:tr>
      <w:tr>
        <w:trPr>
          <w:cantSplit w:val="true"/>
        </w:trPr>
        <w:tc>
          <w:tcPr>
            <w:tcW w:type="dxa" w:w="355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1805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36</w:t>
            </w:r>
          </w:p>
        </w:tc>
        <w:tc>
          <w:tcPr>
            <w:tcW w:type="dxa" w:w="1595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36</w:t>
            </w:r>
          </w:p>
        </w:tc>
        <w:tc>
          <w:tcPr>
            <w:tcW w:type="dxa" w:w="168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4 min 34 s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Por nivel:</w:t>
      </w:r>
      <w:r>
        <w:rPr/>
        <w:t xml:space="preserve"> 27/27 de API y 9/9 web. Sin capturas de cada paso la suite completa tarda ≈ 3,5 min; solo API (</w:t>
      </w:r>
      <w:r>
        <w:rPr>
          <w:rFonts w:ascii="Consolas" w:hAnsi="Consolas"/>
          <w:b w:val="0"/>
          <w:color w:val="8B1E3F"/>
          <w:sz w:val="19"/>
        </w:rPr>
        <w:t>npm run test:api</w:t>
      </w:r>
      <w:r>
        <w:rPr/>
        <w:t>), ≈ 2 min.</w:t>
      </w:r>
    </w:p>
    <w:p>
      <w:pPr>
        <w:pStyle w:val="ListBullet"/>
        <w:spacing w:after="60"/>
      </w:pPr>
      <w:r>
        <w:rPr>
          <w:b/>
        </w:rPr>
        <w:t>Corrida final.</w:t>
      </w:r>
      <w:r>
        <w:rPr/>
        <w:t xml:space="preserve"> Tras el análisis de sensibilidad y el ajuste del </w:t>
      </w:r>
      <w:r>
        <w:rPr>
          <w:i/>
        </w:rPr>
        <w:t>timeout</w:t>
      </w:r>
      <w:r>
        <w:rPr/>
        <w:t xml:space="preserve"> de la API (sección 9), la suite se ejecutó de nuevo con la configuración definitiva: </w:t>
      </w:r>
      <w:r>
        <w:rPr>
          <w:b/>
        </w:rPr>
        <w:t>36/36 aprobados en 3 min 20 s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04-ejecucion-final.txt</w:t>
      </w:r>
      <w:r>
        <w:rPr/>
        <w:t>).</w:t>
      </w:r>
    </w:p>
    <w:p>
      <w:pPr>
        <w:pStyle w:val="ListBullet"/>
        <w:spacing w:after="60"/>
      </w:pPr>
      <w:r>
        <w:rPr>
          <w:b/>
        </w:rPr>
        <w:t>36 ejecuciones y 30 escenarios.</w:t>
      </w:r>
      <w:r>
        <w:rPr/>
        <w:t xml:space="preserve"> Cucumber cuenta cada fila de un </w:t>
      </w:r>
      <w:r>
        <w:rPr>
          <w:i/>
        </w:rPr>
        <w:t>Scenario Outline</w:t>
      </w:r>
      <w:r>
        <w:rPr/>
        <w:t xml:space="preserve"> como una ejecución; el reporte HTML las agrupa en un solo escenario (3 + 2 + 4 filas → 3 escenarios). Por eso el panel del reporte muestra 30.</w:t>
      </w:r>
    </w:p>
    <w:p>
      <w:pPr>
        <w:pStyle w:val="ListBullet"/>
        <w:spacing w:after="60"/>
      </w:pPr>
      <w:r>
        <w:rPr/>
        <w:t>El escenario más lento es el web de consulta (≈ 19 s): registra al cliente, crea dos bolsillos por API, inicia sesión y carga la pantalla.</w:t>
      </w:r>
    </w:p>
    <w:p>
      <w:pPr>
        <w:pStyle w:val="Heading2"/>
      </w:pPr>
      <w:r>
        <w:rPr/>
        <w:t xml:space="preserve">11.2 Otras verificaciones tras integrar con </w:t>
      </w:r>
      <w:r>
        <w:rPr>
          <w:rFonts w:ascii="Consolas" w:hAnsi="Consolas"/>
          <w:b w:val="0"/>
          <w:color w:val="8B1E3F"/>
          <w:sz w:val="19"/>
        </w:rPr>
        <w:t>dev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77"/>
        <w:gridCol w:w="2563"/>
      </w:tblGrid>
      <w:tr>
        <w:trPr>
          <w:cantSplit w:val="true"/>
          <w:tblHeader w:val="true"/>
        </w:trPr>
        <w:tc>
          <w:tcPr>
            <w:tcW w:type="dxa" w:w="607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type="dxa" w:w="256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607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tsc --noEmit</w:t>
            </w:r>
            <w:r>
              <w:rPr>
                <w:sz w:val="19"/>
              </w:rPr>
              <w:t xml:space="preserve"> de la suite E2E</w:t>
            </w:r>
          </w:p>
        </w:tc>
        <w:tc>
          <w:tcPr>
            <w:tcW w:type="dxa" w:w="2563"/>
          </w:tcPr>
          <w:p>
            <w:pPr>
              <w:spacing w:after="0"/>
              <w:jc w:val="left"/>
            </w:pPr>
            <w:r>
              <w:rPr>
                <w:sz w:val="19"/>
              </w:rPr>
              <w:t>0 errores</w:t>
            </w:r>
          </w:p>
        </w:tc>
      </w:tr>
      <w:tr>
        <w:trPr>
          <w:cantSplit w:val="true"/>
        </w:trPr>
        <w:tc>
          <w:tcPr>
            <w:tcW w:type="dxa" w:w="6077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Cucumber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--dry-run</w:t>
            </w:r>
            <w:r>
              <w:rPr>
                <w:sz w:val="19"/>
              </w:rPr>
              <w:t xml:space="preserve"> (pasos sin definir o ambiguos)</w:t>
            </w:r>
          </w:p>
        </w:tc>
        <w:tc>
          <w:tcPr>
            <w:tcW w:type="dxa" w:w="2563"/>
          </w:tcPr>
          <w:p>
            <w:pPr>
              <w:spacing w:after="0"/>
              <w:jc w:val="left"/>
            </w:pPr>
            <w:r>
              <w:rPr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077"/>
          </w:tcPr>
          <w:p>
            <w:pPr>
              <w:spacing w:after="0"/>
              <w:jc w:val="left"/>
            </w:pPr>
            <w:r>
              <w:rPr>
                <w:sz w:val="19"/>
              </w:rPr>
              <w:t>Pruebas unitarias del frontend con los atributos nuevos</w:t>
            </w:r>
          </w:p>
        </w:tc>
        <w:tc>
          <w:tcPr>
            <w:tcW w:type="dxa" w:w="2563"/>
          </w:tcPr>
          <w:p>
            <w:pPr>
              <w:spacing w:after="0"/>
              <w:jc w:val="left"/>
            </w:pPr>
            <w:r>
              <w:rPr>
                <w:sz w:val="19"/>
              </w:rPr>
              <w:t>257 ✅ (37 archivos)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11.3 Reporte de Serenity/JS</w:t>
      </w:r>
    </w:p>
    <w:p>
      <w:r>
        <w:rPr/>
        <w:t>El reporte (</w:t>
      </w:r>
      <w:r>
        <w:rPr>
          <w:rFonts w:ascii="Consolas" w:hAnsi="Consolas"/>
          <w:b w:val="0"/>
          <w:color w:val="8B1E3F"/>
          <w:sz w:val="19"/>
        </w:rPr>
        <w:t>e2e/reports/serenity-js/index.html</w:t>
      </w:r>
      <w:r>
        <w:rPr/>
        <w:t xml:space="preserve">, servido con </w:t>
      </w:r>
      <w:r>
        <w:rPr>
          <w:rFonts w:ascii="Consolas" w:hAnsi="Consolas"/>
          <w:b w:val="0"/>
          <w:color w:val="8B1E3F"/>
          <w:sz w:val="19"/>
        </w:rPr>
        <w:t>npm run test:report</w:t>
      </w:r>
      <w:r>
        <w:rPr/>
        <w:t xml:space="preserve">) es la </w:t>
      </w:r>
      <w:r>
        <w:rPr>
          <w:b/>
        </w:rPr>
        <w:t>documentación viva</w:t>
      </w:r>
      <w:r>
        <w:rPr/>
        <w:t xml:space="preserve"> de la suite: organiza los escenarios por capacidad (carpeta) y </w:t>
      </w:r>
      <w:r>
        <w:rPr>
          <w:i/>
        </w:rPr>
        <w:t>feature</w:t>
      </w:r>
      <w:r>
        <w:rPr/>
        <w:t>, y para cada uno muestra la narrativa, el elenco, el árbol de tareas e interacciones, las peticiones HTTP y las capturas.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reporte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1. Panel del reporte: 30 escenarios (36 ejecuciones), 100 % aprobados, 4 min 34 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reporte-escen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2. Escenarios agrupados por feature, con etiquetas de capacidad, nivel (api/web) y tipo (smoke/seguridad).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06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reporte-detalle-escen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3. Detalle de E2E-TR-01: narrativa de la feature, actor (Ana) y árbol de actividades con la tabla de datos del Background.</w:t>
      </w:r>
    </w:p>
    <w:p>
      <w:pPr>
        <w:pStyle w:val="Heading2"/>
      </w:pPr>
      <w:r>
        <w:rPr/>
        <w:t>11.4 Capturas de la aplicación durante las pruebas</w:t>
      </w:r>
    </w:p>
    <w:p>
      <w:r>
        <w:rPr/>
        <w:t xml:space="preserve">Capturas tomadas por el </w:t>
      </w:r>
      <w:r>
        <w:rPr>
          <w:rFonts w:ascii="Consolas" w:hAnsi="Consolas"/>
          <w:b w:val="0"/>
          <w:color w:val="8B1E3F"/>
          <w:sz w:val="19"/>
        </w:rPr>
        <w:t>Photographer</w:t>
      </w:r>
      <w:r>
        <w:rPr/>
        <w:t xml:space="preserve"> de Serenity/JS durante la ejecución (Chromium sin interfaz, 1280 × 720). Los clientes, cuentas y montos son los que cada escenario creó para sí mismo.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web-transferir-entre-bolsill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4. E2E-TR-05: tras transferir 30000 de "Vacaciones" a "Mercado", la notificación "Transferencia realizada".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web-abonar-sal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5. E2E-DE-10: abono de 150000 desde la pantalla de cuentas; notificación y saldo actualizado.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web-eliminar-con-confirm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6. E2E-EL-03: confirmación antes de eliminar el bolsillo "Vacaciones".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web-abono-en-c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7. E2E-DE-11: el modal de abono rechaza un monto de 0 sin llamar a la API.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12. Sensibilidad: la suite detecta cambios que rompen el comportamiento</w:t>
      </w:r>
    </w:p>
    <w:p>
      <w:r>
        <w:rPr/>
        <w:t>Una suite que siempre pasa no demuestra nada. Se introdujeron cambios a propósito en el código de producción, uno a la vez; se ejecutó la parte afectada de la suite y se revirtió el cambio: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"/>
        <w:gridCol w:w="3726"/>
        <w:gridCol w:w="1125"/>
        <w:gridCol w:w="1438"/>
        <w:gridCol w:w="1856"/>
      </w:tblGrid>
      <w:tr>
        <w:trPr>
          <w:cantSplit w:val="true"/>
          <w:tblHeader w:val="true"/>
        </w:trPr>
        <w:tc>
          <w:tcPr>
            <w:tcW w:type="dxa" w:w="49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72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Cambio introducido (y revertido)</w:t>
            </w:r>
          </w:p>
        </w:tc>
        <w:tc>
          <w:tcPr>
            <w:tcW w:type="dxa" w:w="112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Capa</w:t>
            </w:r>
          </w:p>
        </w:tc>
        <w:tc>
          <w:tcPr>
            <w:tcW w:type="dxa" w:w="143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Escenarios ejecutados</w:t>
            </w:r>
          </w:p>
        </w:tc>
        <w:tc>
          <w:tcPr>
            <w:tcW w:type="dxa" w:w="185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495"/>
          </w:tcPr>
          <w:p>
            <w:pPr>
              <w:spacing w:after="0"/>
              <w:jc w:val="left"/>
            </w:pPr>
            <w:r>
              <w:rPr>
                <w:sz w:val="19"/>
              </w:rPr>
              <w:t>M1</w:t>
            </w:r>
          </w:p>
        </w:tc>
        <w:tc>
          <w:tcPr>
            <w:tcW w:type="dxa" w:w="37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api.client.ts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getAuthToken()</w:t>
            </w:r>
            <w:r>
              <w:rPr>
                <w:sz w:val="19"/>
              </w:rPr>
              <w:t xml:space="preserve"> solo lee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localStorage</w:t>
            </w:r>
            <w:r>
              <w:rPr>
                <w:sz w:val="19"/>
              </w:rPr>
              <w:t xml:space="preserve"> (</w:t>
            </w:r>
            <w:r>
              <w:rPr>
                <w:b/>
                <w:sz w:val="19"/>
              </w:rPr>
              <w:t>reintroduce E2E-01</w:t>
            </w:r>
            <w:r>
              <w:rPr>
                <w:sz w:val="19"/>
              </w:rPr>
              <w:t>)</w:t>
            </w:r>
          </w:p>
        </w:tc>
        <w:tc>
          <w:tcPr>
            <w:tcW w:type="dxa" w:w="1125"/>
          </w:tcPr>
          <w:p>
            <w:pPr>
              <w:spacing w:after="0"/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143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@web</w:t>
            </w:r>
            <w:r>
              <w:rPr>
                <w:sz w:val="19"/>
              </w:rPr>
              <w:t xml:space="preserve"> (9)</w:t>
            </w:r>
          </w:p>
        </w:tc>
        <w:tc>
          <w:tcPr>
            <w:tcW w:type="dxa" w:w="185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9 de 9 fallan</w:t>
            </w:r>
            <w:r>
              <w:rPr>
                <w:sz w:val="19"/>
              </w:rPr>
              <w:t xml:space="preserve"> esperando la cuenta del cliente: la API responde 401 (figura 8)¹</w:t>
            </w:r>
          </w:p>
        </w:tc>
      </w:tr>
      <w:tr>
        <w:trPr>
          <w:cantSplit w:val="true"/>
        </w:trPr>
        <w:tc>
          <w:tcPr>
            <w:tcW w:type="dxa" w:w="495"/>
          </w:tcPr>
          <w:p>
            <w:pPr>
              <w:spacing w:after="0"/>
              <w:jc w:val="left"/>
            </w:pPr>
            <w:r>
              <w:rPr>
                <w:sz w:val="19"/>
              </w:rPr>
              <w:t>M2</w:t>
            </w:r>
          </w:p>
        </w:tc>
        <w:tc>
          <w:tcPr>
            <w:tcW w:type="dxa" w:w="37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DeletePocket</w:t>
            </w:r>
            <w:r>
              <w:rPr>
                <w:sz w:val="19"/>
              </w:rPr>
              <w:t xml:space="preserve">: </w:t>
            </w:r>
            <w:r>
              <w:rPr>
                <w:b/>
                <w:sz w:val="19"/>
              </w:rPr>
              <w:t>resta</w:t>
            </w:r>
            <w:r>
              <w:rPr>
                <w:sz w:val="19"/>
              </w:rPr>
              <w:t xml:space="preserve"> el monto del bolsillo al saldo en vez de sumarlo</w:t>
            </w:r>
          </w:p>
        </w:tc>
        <w:tc>
          <w:tcPr>
            <w:tcW w:type="dxa" w:w="1125"/>
          </w:tcPr>
          <w:p>
            <w:pPr>
              <w:spacing w:after="0"/>
              <w:jc w:val="left"/>
            </w:pPr>
            <w:r>
              <w:rPr>
                <w:sz w:val="19"/>
              </w:rPr>
              <w:t>Backend</w:t>
            </w:r>
          </w:p>
        </w:tc>
        <w:tc>
          <w:tcPr>
            <w:tcW w:type="dxa" w:w="1438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 (3)</w:t>
            </w:r>
          </w:p>
        </w:tc>
        <w:tc>
          <w:tcPr>
            <w:tcW w:type="dxa" w:w="185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2 fallan</w:t>
            </w:r>
            <w:r>
              <w:rPr>
                <w:sz w:val="19"/>
              </w:rPr>
              <w:t xml:space="preserve"> (E2E-EL-01 y EL-03): saldo 300000 en vez de 500000</w:t>
            </w:r>
          </w:p>
        </w:tc>
      </w:tr>
      <w:tr>
        <w:trPr>
          <w:cantSplit w:val="true"/>
        </w:trPr>
        <w:tc>
          <w:tcPr>
            <w:tcW w:type="dxa" w:w="495"/>
          </w:tcPr>
          <w:p>
            <w:pPr>
              <w:spacing w:after="0"/>
              <w:jc w:val="left"/>
            </w:pPr>
            <w:r>
              <w:rPr>
                <w:sz w:val="19"/>
              </w:rPr>
              <w:t>M3</w:t>
            </w:r>
          </w:p>
        </w:tc>
        <w:tc>
          <w:tcPr>
            <w:tcW w:type="dxa" w:w="37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DepositMoney</w:t>
            </w:r>
            <w:r>
              <w:rPr>
                <w:sz w:val="19"/>
              </w:rPr>
              <w:t xml:space="preserve">: sin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account.assertBelongsTo(userId)</w:t>
            </w:r>
          </w:p>
        </w:tc>
        <w:tc>
          <w:tcPr>
            <w:tcW w:type="dxa" w:w="1125"/>
          </w:tcPr>
          <w:p>
            <w:pPr>
              <w:spacing w:after="0"/>
              <w:jc w:val="left"/>
            </w:pPr>
            <w:r>
              <w:rPr>
                <w:sz w:val="19"/>
              </w:rPr>
              <w:t>Backend</w:t>
            </w:r>
          </w:p>
        </w:tc>
        <w:tc>
          <w:tcPr>
            <w:tcW w:type="dxa" w:w="143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@deposito and @api</w:t>
            </w:r>
            <w:r>
              <w:rPr>
                <w:sz w:val="19"/>
              </w:rPr>
              <w:t xml:space="preserve"> (9)</w:t>
            </w:r>
          </w:p>
        </w:tc>
        <w:tc>
          <w:tcPr>
            <w:tcW w:type="dxa" w:w="185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1 falla</w:t>
            </w:r>
            <w:r>
              <w:rPr>
                <w:sz w:val="19"/>
              </w:rPr>
              <w:t xml:space="preserve"> (E2E-DE-09): HTTP 200 en vez de 403 — Carlos deposita en la cuenta de Diana</w:t>
            </w:r>
          </w:p>
        </w:tc>
      </w:tr>
      <w:tr>
        <w:trPr>
          <w:cantSplit w:val="true"/>
        </w:trPr>
        <w:tc>
          <w:tcPr>
            <w:tcW w:type="dxa" w:w="495"/>
          </w:tcPr>
          <w:p>
            <w:pPr>
              <w:spacing w:after="0"/>
              <w:jc w:val="left"/>
            </w:pPr>
            <w:r>
              <w:rPr>
                <w:sz w:val="19"/>
              </w:rPr>
              <w:t>M4</w:t>
            </w:r>
          </w:p>
        </w:tc>
        <w:tc>
          <w:tcPr>
            <w:tcW w:type="dxa" w:w="37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DepositWithdrawModal</w:t>
            </w:r>
            <w:r>
              <w:rPr>
                <w:sz w:val="19"/>
              </w:rPr>
              <w:t xml:space="preserve">: sin la validación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monto &lt;= 0</w:t>
            </w:r>
            <w:r>
              <w:rPr>
                <w:sz w:val="19"/>
              </w:rPr>
              <w:t xml:space="preserve"> en el cliente</w:t>
            </w:r>
          </w:p>
        </w:tc>
        <w:tc>
          <w:tcPr>
            <w:tcW w:type="dxa" w:w="1125"/>
          </w:tcPr>
          <w:p>
            <w:pPr>
              <w:spacing w:after="0"/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143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@deposito and @web</w:t>
            </w:r>
            <w:r>
              <w:rPr>
                <w:sz w:val="19"/>
              </w:rPr>
              <w:t xml:space="preserve"> (3)</w:t>
            </w:r>
          </w:p>
        </w:tc>
        <w:tc>
          <w:tcPr>
            <w:tcW w:type="dxa" w:w="185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1 falla</w:t>
            </w:r>
            <w:r>
              <w:rPr>
                <w:sz w:val="19"/>
              </w:rPr>
              <w:t xml:space="preserve"> (E2E-DE-11): aparece el mensaje del backend en lugar del de validación</w:t>
            </w:r>
          </w:p>
        </w:tc>
      </w:tr>
      <w:tr>
        <w:trPr>
          <w:cantSplit w:val="true"/>
        </w:trPr>
        <w:tc>
          <w:tcPr>
            <w:tcW w:type="dxa" w:w="495"/>
          </w:tcPr>
          <w:p>
            <w:pPr>
              <w:spacing w:after="0"/>
              <w:jc w:val="left"/>
            </w:pPr>
            <w:r>
              <w:rPr>
                <w:sz w:val="19"/>
              </w:rPr>
              <w:t>M5</w:t>
            </w:r>
          </w:p>
        </w:tc>
        <w:tc>
          <w:tcPr>
            <w:tcW w:type="dxa" w:w="372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handleTransfer</w:t>
            </w:r>
            <w:r>
              <w:rPr>
                <w:sz w:val="19"/>
              </w:rPr>
              <w:t>: no recarga los bolsillos después de transferir</w:t>
            </w:r>
          </w:p>
        </w:tc>
        <w:tc>
          <w:tcPr>
            <w:tcW w:type="dxa" w:w="1125"/>
          </w:tcPr>
          <w:p>
            <w:pPr>
              <w:spacing w:after="0"/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1438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 en pantalla (1)</w:t>
            </w:r>
          </w:p>
        </w:tc>
        <w:tc>
          <w:tcPr>
            <w:tcW w:type="dxa" w:w="185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1 falla</w:t>
            </w:r>
            <w:r>
              <w:rPr>
                <w:sz w:val="19"/>
              </w:rPr>
              <w:t xml:space="preserve"> (E2E-TR-05): "Vacaciones" sigue mostrando 100000 en vez de 70000</w:t>
            </w:r>
          </w:p>
        </w:tc>
      </w:tr>
    </w:tbl>
    <w:p>
      <w:pPr>
        <w:spacing w:after="40"/>
      </w:pPr>
    </w:p>
    <w:p>
      <w:r>
        <w:rPr/>
        <w:t xml:space="preserve">¹ En la corrida de M1, 8 escenarios fallaron en la aserción esperada y el de transferencia en pantalla quedó </w:t>
      </w:r>
      <w:r>
        <w:rPr>
          <w:i/>
        </w:rPr>
        <w:t>comprometido</w:t>
      </w:r>
      <w:r>
        <w:rPr/>
        <w:t xml:space="preserve"> antes de llegar al código mutado (</w:t>
      </w:r>
      <w:r>
        <w:rPr>
          <w:rFonts w:ascii="Consolas" w:hAnsi="Consolas"/>
          <w:b w:val="0"/>
          <w:color w:val="8B1E3F"/>
          <w:sz w:val="19"/>
        </w:rPr>
        <w:t>POST /accounts</w:t>
      </w:r>
      <w:r>
        <w:rPr/>
        <w:t xml:space="preserve"> superó el </w:t>
      </w:r>
      <w:r>
        <w:rPr>
          <w:i/>
        </w:rPr>
        <w:t>timeout</w:t>
      </w:r>
      <w:r>
        <w:rPr/>
        <w:t xml:space="preserve"> de 10 s al preparar datos). Se repitió aislado con la mutación aplicada y falló en la misma aserción que los otros 8. A raíz de esto se subió el </w:t>
      </w:r>
      <w:r>
        <w:rPr>
          <w:i/>
        </w:rPr>
        <w:t>timeout</w:t>
      </w:r>
      <w:r>
        <w:rPr/>
        <w:t xml:space="preserve"> de la API a 30 s (sección 9).</w:t>
      </w:r>
    </w:p>
    <w:p>
      <w:r>
        <w:rPr/>
        <w:t>Lectura de los resultados:</w:t>
      </w:r>
    </w:p>
    <w:p>
      <w:pPr>
        <w:pStyle w:val="ListBullet"/>
        <w:spacing w:after="60"/>
      </w:pPr>
      <w:r>
        <w:rPr>
          <w:b/>
        </w:rPr>
        <w:t>Cada mutación rompió exactamente los escenarios que debía.</w:t>
      </w:r>
      <w:r>
        <w:rPr/>
        <w:t xml:space="preserve"> Con M2 el escenario de bolsillo ajeno (E2E-EL-02) siguió en verde porque no toca el saldo del dueño; con M3 los otros 8 escenarios de depósito siguieron en verde porque nadie más deposita en una cuenta ajena; con M4 el abono válido y el recorrido siguieron en verde. Es la evidencia de que cada escenario verifica </w:t>
      </w:r>
      <w:r>
        <w:rPr>
          <w:b/>
        </w:rPr>
        <w:t>una</w:t>
      </w:r>
      <w:r>
        <w:rPr/>
        <w:t xml:space="preserve"> regla y no falla por accidente.</w:t>
      </w:r>
    </w:p>
    <w:p>
      <w:pPr>
        <w:pStyle w:val="ListBullet"/>
        <w:spacing w:after="60"/>
      </w:pPr>
      <w:r>
        <w:rPr>
          <w:b/>
        </w:rPr>
        <w:t>M4 y M5 solo pueden detectarse con una E2E.</w:t>
      </w:r>
      <w:r>
        <w:rPr/>
        <w:t xml:space="preserve"> M4 deja el sistema "correcto" (el backend también rechaza el 0), pero cambia lo que ve el usuario; M5 deja la API correcta y la pantalla desactualizada. Ninguna prueba de API o de caso de uso puede observar esas diferencias.</w:t>
      </w:r>
    </w:p>
    <w:p>
      <w:pPr>
        <w:pStyle w:val="ListBullet"/>
        <w:spacing w:after="60"/>
      </w:pPr>
      <w:r>
        <w:rPr>
          <w:b/>
        </w:rPr>
        <w:t>Restauración.</w:t>
      </w:r>
      <w:r>
        <w:rPr/>
        <w:t xml:space="preserve"> Tras revertir las cinco mutaciones (</w:t>
      </w:r>
      <w:r>
        <w:rPr>
          <w:rFonts w:ascii="Consolas" w:hAnsi="Consolas"/>
          <w:b w:val="0"/>
          <w:color w:val="8B1E3F"/>
          <w:sz w:val="19"/>
        </w:rPr>
        <w:t>git status</w:t>
      </w:r>
      <w:r>
        <w:rPr/>
        <w:t xml:space="preserve"> limpio en </w:t>
      </w:r>
      <w:r>
        <w:rPr>
          <w:rFonts w:ascii="Consolas" w:hAnsi="Consolas"/>
          <w:b w:val="0"/>
          <w:color w:val="8B1E3F"/>
          <w:sz w:val="19"/>
        </w:rPr>
        <w:t>backend/</w:t>
      </w:r>
      <w:r>
        <w:rPr/>
        <w:t xml:space="preserve"> y </w:t>
      </w:r>
      <w:r>
        <w:rPr>
          <w:rFonts w:ascii="Consolas" w:hAnsi="Consolas"/>
          <w:b w:val="0"/>
          <w:color w:val="8B1E3F"/>
          <w:sz w:val="19"/>
        </w:rPr>
        <w:t>frontend/</w:t>
      </w:r>
      <w:r>
        <w:rPr/>
        <w:t xml:space="preserve">), </w:t>
      </w:r>
      <w:r>
        <w:rPr>
          <w:rFonts w:ascii="Consolas" w:hAnsi="Consolas"/>
          <w:b w:val="0"/>
          <w:color w:val="8B1E3F"/>
          <w:sz w:val="19"/>
        </w:rPr>
        <w:t>npm run test:smoke</w:t>
      </w:r>
      <w:r>
        <w:rPr/>
        <w:t xml:space="preserve"> volvió a </w:t>
      </w:r>
      <w:r>
        <w:rPr>
          <w:b/>
        </w:rPr>
        <w:t>10 / 10 aprobados</w:t>
      </w:r>
      <w:r>
        <w:rPr/>
        <w:t>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13. Evidencia (</w:t>
      </w:r>
      <w:r>
        <w:rPr>
          <w:rFonts w:ascii="Consolas" w:hAnsi="Consolas"/>
          <w:b w:val="0"/>
          <w:color w:val="8B1E3F"/>
          <w:sz w:val="19"/>
        </w:rPr>
        <w:t>docs/evidencia-e2e-bolsillos/</w:t>
      </w:r>
      <w:r>
        <w:rPr/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9"/>
        <w:gridCol w:w="4871"/>
      </w:tblGrid>
      <w:tr>
        <w:trPr>
          <w:cantSplit w:val="true"/>
          <w:tblHeader w:val="true"/>
        </w:trPr>
        <w:tc>
          <w:tcPr>
            <w:tcW w:type="dxa" w:w="376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487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376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01-suite-completa-sobre-dev.txt</w:t>
            </w:r>
          </w:p>
        </w:tc>
        <w:tc>
          <w:tcPr>
            <w:tcW w:type="dxa" w:w="4871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Salida de consola de la ejecución completa sobre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dev</w:t>
            </w:r>
            <w:r>
              <w:rPr>
                <w:sz w:val="19"/>
              </w:rPr>
              <w:t xml:space="preserve"> (36/36): cada paso, tarea e interacción con su duración</w:t>
            </w:r>
          </w:p>
        </w:tc>
      </w:tr>
      <w:tr>
        <w:trPr>
          <w:cantSplit w:val="true"/>
        </w:trPr>
        <w:tc>
          <w:tcPr>
            <w:tcW w:type="dxa" w:w="376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02-defecto-E2E-01.txt</w:t>
            </w:r>
          </w:p>
        </w:tc>
        <w:tc>
          <w:tcPr>
            <w:tcW w:type="dxa" w:w="4871"/>
          </w:tcPr>
          <w:p>
            <w:pPr>
              <w:spacing w:after="0"/>
              <w:jc w:val="left"/>
            </w:pPr>
            <w:r>
              <w:rPr>
                <w:sz w:val="19"/>
              </w:rPr>
              <w:t>Detección (9/9 web fallan), contramedida temporal (9/9 pasan), causa raíz y corrección</w:t>
            </w:r>
          </w:p>
        </w:tc>
      </w:tr>
      <w:tr>
        <w:trPr>
          <w:cantSplit w:val="true"/>
        </w:trPr>
        <w:tc>
          <w:tcPr>
            <w:tcW w:type="dxa" w:w="376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03-sensibilidad-mutaciones.txt</w:t>
            </w:r>
          </w:p>
        </w:tc>
        <w:tc>
          <w:tcPr>
            <w:tcW w:type="dxa" w:w="4871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Las mutaciones de la sección 12: </w:t>
            </w:r>
            <w:r>
              <w:rPr>
                <w:i/>
                <w:sz w:val="19"/>
              </w:rPr>
              <w:t>diff</w:t>
            </w:r>
            <w:r>
              <w:rPr>
                <w:sz w:val="19"/>
              </w:rPr>
              <w:t>, comando, resultado, pasos que fallaron y restauración</w:t>
            </w:r>
          </w:p>
        </w:tc>
      </w:tr>
      <w:tr>
        <w:trPr>
          <w:cantSplit w:val="true"/>
        </w:trPr>
        <w:tc>
          <w:tcPr>
            <w:tcW w:type="dxa" w:w="376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04-ejecucion-final.txt</w:t>
            </w:r>
          </w:p>
        </w:tc>
        <w:tc>
          <w:tcPr>
            <w:tcW w:type="dxa" w:w="4871"/>
          </w:tcPr>
          <w:p>
            <w:pPr>
              <w:spacing w:after="0"/>
              <w:jc w:val="left"/>
            </w:pPr>
            <w:r>
              <w:rPr>
                <w:sz w:val="19"/>
              </w:rPr>
              <w:t>Corrida completa con la configuración definitiva (</w:t>
            </w:r>
            <w:r>
              <w:rPr>
                <w:i/>
                <w:sz w:val="19"/>
              </w:rPr>
              <w:t>timeout</w:t>
            </w:r>
            <w:r>
              <w:rPr>
                <w:sz w:val="19"/>
              </w:rPr>
              <w:t xml:space="preserve"> de API de 30 s), sin capturas por paso</w:t>
            </w:r>
          </w:p>
        </w:tc>
      </w:tr>
      <w:tr>
        <w:trPr>
          <w:cantSplit w:val="true"/>
        </w:trPr>
        <w:tc>
          <w:tcPr>
            <w:tcW w:type="dxa" w:w="376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10-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13-*.png</w:t>
            </w:r>
          </w:p>
        </w:tc>
        <w:tc>
          <w:tcPr>
            <w:tcW w:type="dxa" w:w="4871"/>
          </w:tcPr>
          <w:p>
            <w:pPr>
              <w:spacing w:after="0"/>
              <w:jc w:val="left"/>
            </w:pPr>
            <w:r>
              <w:rPr>
                <w:sz w:val="19"/>
              </w:rPr>
              <w:t>Capturas de la aplicación durante las pruebas (figuras 4 a 7)</w:t>
            </w:r>
          </w:p>
        </w:tc>
      </w:tr>
      <w:tr>
        <w:trPr>
          <w:cantSplit w:val="true"/>
        </w:trPr>
        <w:tc>
          <w:tcPr>
            <w:tcW w:type="dxa" w:w="376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14-e2e-01-reintroducido.png</w:t>
            </w:r>
          </w:p>
        </w:tc>
        <w:tc>
          <w:tcPr>
            <w:tcW w:type="dxa" w:w="4871"/>
          </w:tcPr>
          <w:p>
            <w:pPr>
              <w:spacing w:after="0"/>
              <w:jc w:val="left"/>
            </w:pPr>
            <w:r>
              <w:rPr>
                <w:sz w:val="19"/>
              </w:rPr>
              <w:t>Pantalla de bolsillos con el defecto E2E-01 reintroducido (figura 8)</w:t>
            </w:r>
          </w:p>
        </w:tc>
      </w:tr>
      <w:tr>
        <w:trPr>
          <w:cantSplit w:val="true"/>
        </w:trPr>
        <w:tc>
          <w:tcPr>
            <w:tcW w:type="dxa" w:w="376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20-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22-*.png</w:t>
            </w:r>
          </w:p>
        </w:tc>
        <w:tc>
          <w:tcPr>
            <w:tcW w:type="dxa" w:w="4871"/>
          </w:tcPr>
          <w:p>
            <w:pPr>
              <w:spacing w:after="0"/>
              <w:jc w:val="left"/>
            </w:pPr>
            <w:r>
              <w:rPr>
                <w:sz w:val="19"/>
              </w:rPr>
              <w:t>Vistas del reporte de Serenity/JS (figuras 1 a 3)</w:t>
            </w:r>
          </w:p>
        </w:tc>
      </w:tr>
    </w:tbl>
    <w:p>
      <w:pPr>
        <w:spacing w:after="40"/>
      </w:pPr>
    </w:p>
    <w:p>
      <w:r>
        <w:rPr/>
        <w:t xml:space="preserve">El reporte HTML completo no se versiona: se regenera en cada corrida en </w:t>
      </w:r>
      <w:r>
        <w:rPr>
          <w:rFonts w:ascii="Consolas" w:hAnsi="Consolas"/>
          <w:b w:val="0"/>
          <w:color w:val="8B1E3F"/>
          <w:sz w:val="19"/>
        </w:rPr>
        <w:t>e2e/reports/serenity-js/</w:t>
      </w:r>
      <w:r>
        <w:rPr/>
        <w:t xml:space="preserve"> (ignorado por git).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14. Limitaciones y riesgos residuales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7"/>
        <w:gridCol w:w="2625"/>
        <w:gridCol w:w="2858"/>
      </w:tblGrid>
      <w:tr>
        <w:trPr>
          <w:cantSplit w:val="true"/>
          <w:tblHeader w:val="true"/>
        </w:trPr>
        <w:tc>
          <w:tcPr>
            <w:tcW w:type="dxa" w:w="315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Limitación</w:t>
            </w:r>
          </w:p>
        </w:tc>
        <w:tc>
          <w:tcPr>
            <w:tcW w:type="dxa" w:w="262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Impacto</w:t>
            </w:r>
          </w:p>
        </w:tc>
        <w:tc>
          <w:tcPr>
            <w:tcW w:type="dxa" w:w="285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Mitigación / siguiente paso</w:t>
            </w:r>
          </w:p>
        </w:tc>
      </w:tr>
      <w:tr>
        <w:trPr>
          <w:cantSplit w:val="true"/>
        </w:trPr>
        <w:tc>
          <w:tcPr>
            <w:tcW w:type="dxa" w:w="3157"/>
          </w:tcPr>
          <w:p>
            <w:pPr>
              <w:spacing w:after="0"/>
              <w:jc w:val="left"/>
            </w:pPr>
            <w:r>
              <w:rPr>
                <w:sz w:val="19"/>
              </w:rPr>
              <w:t>Requiere backend, frontend y Supabase levantados</w:t>
            </w:r>
          </w:p>
        </w:tc>
        <w:tc>
          <w:tcPr>
            <w:tcW w:type="dxa" w:w="2625"/>
          </w:tcPr>
          <w:p>
            <w:pPr>
              <w:spacing w:after="0"/>
              <w:jc w:val="left"/>
            </w:pPr>
            <w:r>
              <w:rPr>
                <w:sz w:val="19"/>
              </w:rPr>
              <w:t>No corre en un entorno sin red</w:t>
            </w:r>
          </w:p>
        </w:tc>
        <w:tc>
          <w:tcPr>
            <w:tcW w:type="dxa" w:w="285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BeforeAll</w:t>
            </w:r>
            <w:r>
              <w:rPr>
                <w:sz w:val="19"/>
              </w:rPr>
              <w:t xml:space="preserve"> falla rápido con un mensaje claro; en CI usar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docker compose</w:t>
            </w:r>
          </w:p>
        </w:tc>
      </w:tr>
      <w:tr>
        <w:trPr>
          <w:cantSplit w:val="true"/>
        </w:trPr>
        <w:tc>
          <w:tcPr>
            <w:tcW w:type="dxa" w:w="3157"/>
          </w:tcPr>
          <w:p>
            <w:pPr>
              <w:spacing w:after="0"/>
              <w:jc w:val="left"/>
            </w:pPr>
            <w:r>
              <w:rPr>
                <w:sz w:val="19"/>
              </w:rPr>
              <w:t>Latencia de Supabase (servicio remoto compartido)</w:t>
            </w:r>
          </w:p>
        </w:tc>
        <w:tc>
          <w:tcPr>
            <w:tcW w:type="dxa" w:w="262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Un escenario puede quedar </w:t>
            </w:r>
            <w:r>
              <w:rPr>
                <w:i/>
                <w:sz w:val="19"/>
              </w:rPr>
              <w:t>comprometido</w:t>
            </w:r>
            <w:r>
              <w:rPr>
                <w:sz w:val="19"/>
              </w:rPr>
              <w:t xml:space="preserve"> al preparar datos</w:t>
            </w:r>
          </w:p>
        </w:tc>
        <w:tc>
          <w:tcPr>
            <w:tcW w:type="dxa" w:w="2858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Timeout</w:t>
            </w:r>
            <w:r>
              <w:rPr>
                <w:sz w:val="19"/>
              </w:rPr>
              <w:t xml:space="preserve"> de 30 s; Serenity/JS distingue "comprometido" (falla del entorno) de "fallido" (falla del sistema)</w:t>
            </w:r>
          </w:p>
        </w:tc>
      </w:tr>
      <w:tr>
        <w:trPr>
          <w:cantSplit w:val="true"/>
        </w:trPr>
        <w:tc>
          <w:tcPr>
            <w:tcW w:type="dxa" w:w="3157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Cada corrida deja ≈ 40 usuarios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e2e.*@fubanking.test</w:t>
            </w:r>
          </w:p>
        </w:tc>
        <w:tc>
          <w:tcPr>
            <w:tcW w:type="dxa" w:w="262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Crecimiento de la tabla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users</w:t>
            </w:r>
          </w:p>
        </w:tc>
        <w:tc>
          <w:tcPr>
            <w:tcW w:type="dxa" w:w="285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Script de limpieza por dominio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.test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service_role</w:t>
            </w:r>
            <w:r>
              <w:rPr>
                <w:sz w:val="19"/>
              </w:rPr>
              <w:t xml:space="preserve"> (fuera del frontend)</w:t>
            </w:r>
          </w:p>
        </w:tc>
      </w:tr>
      <w:tr>
        <w:trPr>
          <w:cantSplit w:val="true"/>
        </w:trPr>
        <w:tc>
          <w:tcPr>
            <w:tcW w:type="dxa" w:w="3157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Tiempos en modo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next dev</w:t>
            </w:r>
          </w:p>
        </w:tc>
        <w:tc>
          <w:tcPr>
            <w:tcW w:type="dxa" w:w="2625"/>
          </w:tcPr>
          <w:p>
            <w:pPr>
              <w:spacing w:after="0"/>
              <w:jc w:val="left"/>
            </w:pPr>
            <w:r>
              <w:rPr>
                <w:sz w:val="19"/>
              </w:rPr>
              <w:t>Primera visita a cada ruta compila la página</w:t>
            </w:r>
          </w:p>
        </w:tc>
        <w:tc>
          <w:tcPr>
            <w:tcW w:type="dxa" w:w="285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Ejecutar contra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next build &amp;&amp; next start</w:t>
            </w:r>
            <w:r>
              <w:rPr>
                <w:sz w:val="19"/>
              </w:rPr>
              <w:t xml:space="preserve"> en CI</w:t>
            </w:r>
          </w:p>
        </w:tc>
      </w:tr>
      <w:tr>
        <w:trPr>
          <w:cantSplit w:val="true"/>
        </w:trPr>
        <w:tc>
          <w:tcPr>
            <w:tcW w:type="dxa" w:w="3157"/>
          </w:tcPr>
          <w:p>
            <w:pPr>
              <w:spacing w:after="0"/>
              <w:jc w:val="left"/>
            </w:pPr>
            <w:r>
              <w:rPr>
                <w:sz w:val="19"/>
              </w:rPr>
              <w:t>Solo Chromium de escritorio</w:t>
            </w:r>
          </w:p>
        </w:tc>
        <w:tc>
          <w:tcPr>
            <w:tcW w:type="dxa" w:w="2625"/>
          </w:tcPr>
          <w:p>
            <w:pPr>
              <w:spacing w:after="0"/>
              <w:jc w:val="left"/>
            </w:pPr>
            <w:r>
              <w:rPr>
                <w:sz w:val="19"/>
              </w:rPr>
              <w:t>No detecta problemas de otros motores o móviles</w:t>
            </w:r>
          </w:p>
        </w:tc>
        <w:tc>
          <w:tcPr>
            <w:tcW w:type="dxa" w:w="2858"/>
          </w:tcPr>
          <w:p>
            <w:pPr>
              <w:spacing w:after="0"/>
              <w:jc w:val="left"/>
            </w:pPr>
            <w:r>
              <w:rPr>
                <w:sz w:val="19"/>
              </w:rPr>
              <w:t>Agregar proyectos de Playwright (Firefox, WebKit, viewport móvil)</w:t>
            </w:r>
          </w:p>
        </w:tc>
      </w:tr>
      <w:tr>
        <w:trPr>
          <w:cantSplit w:val="true"/>
        </w:trPr>
        <w:tc>
          <w:tcPr>
            <w:tcW w:type="dxa" w:w="3157"/>
          </w:tcPr>
          <w:p>
            <w:pPr>
              <w:spacing w:after="0"/>
              <w:jc w:val="left"/>
            </w:pPr>
            <w:r>
              <w:rPr>
                <w:sz w:val="19"/>
              </w:rPr>
              <w:t>2FA no automatizado</w:t>
            </w:r>
          </w:p>
        </w:tc>
        <w:tc>
          <w:tcPr>
            <w:tcW w:type="dxa" w:w="2625"/>
          </w:tcPr>
          <w:p>
            <w:pPr>
              <w:spacing w:after="0"/>
              <w:jc w:val="left"/>
            </w:pPr>
            <w:r>
              <w:rPr>
                <w:sz w:val="19"/>
              </w:rPr>
              <w:t>El flujo con segundo factor no se prueba de punta a punta</w:t>
            </w:r>
          </w:p>
        </w:tc>
        <w:tc>
          <w:tcPr>
            <w:tcW w:type="dxa" w:w="2858"/>
          </w:tcPr>
          <w:p>
            <w:pPr>
              <w:spacing w:after="0"/>
              <w:jc w:val="left"/>
            </w:pPr>
            <w:r>
              <w:rPr>
                <w:sz w:val="19"/>
              </w:rPr>
              <w:t>Buzón de prueba o endpoint de pruebas para leer el OTP</w:t>
            </w:r>
          </w:p>
        </w:tc>
      </w:tr>
      <w:tr>
        <w:trPr>
          <w:cantSplit w:val="true"/>
        </w:trPr>
        <w:tc>
          <w:tcPr>
            <w:tcW w:type="dxa" w:w="3157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Node 24.14 frente 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^24.15.0</w:t>
            </w:r>
            <w:r>
              <w:rPr>
                <w:sz w:val="19"/>
              </w:rPr>
              <w:t xml:space="preserve"> que piden las dependencias</w:t>
            </w:r>
          </w:p>
        </w:tc>
        <w:tc>
          <w:tcPr>
            <w:tcW w:type="dxa" w:w="262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Aviso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EBADENGINE</w:t>
            </w:r>
            <w:r>
              <w:rPr>
                <w:sz w:val="19"/>
              </w:rPr>
              <w:t xml:space="preserve"> al instalar</w:t>
            </w:r>
          </w:p>
        </w:tc>
        <w:tc>
          <w:tcPr>
            <w:tcW w:type="dxa" w:w="2858"/>
          </w:tcPr>
          <w:p>
            <w:pPr>
              <w:spacing w:after="0"/>
              <w:jc w:val="left"/>
            </w:pPr>
            <w:r>
              <w:rPr>
                <w:sz w:val="19"/>
              </w:rPr>
              <w:t>Actualizar Node a 24.15+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15. Integración continua</w:t>
      </w:r>
    </w:p>
    <w:p>
      <w:r>
        <w:rPr/>
        <w:t xml:space="preserve">La suite </w:t>
      </w:r>
      <w:r>
        <w:rPr>
          <w:b/>
        </w:rPr>
        <w:t xml:space="preserve">no se agregó al </w:t>
      </w:r>
      <w:r>
        <w:rPr>
          <w:rFonts w:ascii="Consolas" w:hAnsi="Consolas"/>
          <w:b/>
          <w:color w:val="8B1E3F"/>
          <w:sz w:val="19"/>
        </w:rPr>
        <w:t>Jenkinsfile</w:t>
      </w:r>
      <w:r>
        <w:rPr/>
        <w:t xml:space="preserve"> en esta entrega: necesita la aplicación desplegada y una base de datos, y el pipeline actual construye imágenes y corre pruebas sin infraestructura. La propuesta es una etapa posterior al </w:t>
      </w:r>
      <w:r>
        <w:rPr>
          <w:i/>
        </w:rPr>
        <w:t>smoke test</w:t>
      </w:r>
      <w:r>
        <w:rPr/>
        <w:t xml:space="preserve"> con Docker: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stage('E2E: Bolsillos y Depósito') {</w:t>
        <w:br/>
      </w:r>
      <w:r>
        <w:rPr>
          <w:rFonts w:ascii="Consolas" w:hAnsi="Consolas" w:eastAsia="Consolas"/>
          <w:sz w:val="17"/>
        </w:rPr>
        <w:t xml:space="preserve">  steps {</w:t>
        <w:br/>
      </w:r>
      <w:r>
        <w:rPr>
          <w:rFonts w:ascii="Consolas" w:hAnsi="Consolas" w:eastAsia="Consolas"/>
          <w:sz w:val="17"/>
        </w:rPr>
        <w:t xml:space="preserve">    dir('e2e') {</w:t>
        <w:br/>
      </w:r>
      <w:r>
        <w:rPr>
          <w:rFonts w:ascii="Consolas" w:hAnsi="Consolas" w:eastAsia="Consolas"/>
          <w:sz w:val="17"/>
        </w:rPr>
        <w:t xml:space="preserve">      sh 'npm ci &amp;&amp; npx playwright install --with-deps chromium'</w:t>
        <w:br/>
      </w:r>
      <w:r>
        <w:rPr>
          <w:rFonts w:ascii="Consolas" w:hAnsi="Consolas" w:eastAsia="Consolas"/>
          <w:sz w:val="17"/>
        </w:rPr>
        <w:t xml:space="preserve">      sh 'E2E_API_URL=http://backend:3001/api/v1/ E2E_WEB_URL=http://frontend:3000 npm run test:smoke'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 xml:space="preserve">  post { always { archiveArtifacts artifacts: 'e2e/reports/serenity-js/**', allowEmptyArchive: true } }</w:t>
        <w:br/>
      </w:r>
      <w:r>
        <w:rPr>
          <w:rFonts w:ascii="Consolas" w:hAnsi="Consolas" w:eastAsia="Consolas"/>
          <w:sz w:val="17"/>
        </w:rPr>
        <w:t>}</w:t>
      </w:r>
    </w:p>
    <w:p>
      <w:r>
        <w:rPr/>
        <w:t xml:space="preserve">Con </w:t>
      </w:r>
      <w:r>
        <w:rPr>
          <w:rFonts w:ascii="Consolas" w:hAnsi="Consolas"/>
          <w:b w:val="0"/>
          <w:color w:val="8B1E3F"/>
          <w:sz w:val="19"/>
        </w:rPr>
        <w:t>@smoke</w:t>
      </w:r>
      <w:r>
        <w:rPr/>
        <w:t xml:space="preserve"> (10 escenarios: 6 de API y 4 web) el costo en el pipeline es de uno a dos minutos; la suite completa puede ejecutarse de noche o antes de cada </w:t>
      </w:r>
      <w:r>
        <w:rPr>
          <w:i/>
        </w:rPr>
        <w:t>merge</w:t>
      </w:r>
      <w:r>
        <w:rPr/>
        <w:t xml:space="preserve"> a </w:t>
      </w:r>
      <w:r>
        <w:rPr>
          <w:rFonts w:ascii="Consolas" w:hAnsi="Consolas"/>
          <w:b w:val="0"/>
          <w:color w:val="8B1E3F"/>
          <w:sz w:val="19"/>
        </w:rPr>
        <w:t>main</w:t>
      </w:r>
      <w:r>
        <w:rPr/>
        <w:t>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16. Cómo ejecutar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# 1. Levantar el sistema (cada uno en su terminal)</w:t>
        <w:br/>
      </w:r>
      <w:r>
        <w:rPr>
          <w:rFonts w:ascii="Consolas" w:hAnsi="Consolas" w:eastAsia="Consolas"/>
          <w:sz w:val="17"/>
        </w:rPr>
        <w:t>npm --prefix backend run dev        # http://localhost:3001</w:t>
        <w:br/>
      </w:r>
      <w:r>
        <w:rPr>
          <w:rFonts w:ascii="Consolas" w:hAnsi="Consolas" w:eastAsia="Consolas"/>
          <w:sz w:val="17"/>
        </w:rPr>
        <w:t>npm --prefix frontend run dev       # http://localhost:3000</w:t>
        <w:br/>
      </w:r>
      <w:r>
        <w:rPr>
          <w:rFonts w:ascii="Consolas" w:hAnsi="Consolas" w:eastAsia="Consolas"/>
          <w:sz w:val="17"/>
        </w:rPr>
        <w:t xml:space="preserve"> </w:t>
        <w:br/>
      </w:r>
      <w:r>
        <w:rPr>
          <w:rFonts w:ascii="Consolas" w:hAnsi="Consolas" w:eastAsia="Consolas"/>
          <w:sz w:val="17"/>
        </w:rPr>
        <w:t># 2. Instalar la suite (una vez)</w:t>
        <w:br/>
      </w:r>
      <w:r>
        <w:rPr>
          <w:rFonts w:ascii="Consolas" w:hAnsi="Consolas" w:eastAsia="Consolas"/>
          <w:sz w:val="17"/>
        </w:rPr>
        <w:t>cd e2e</w:t>
        <w:br/>
      </w:r>
      <w:r>
        <w:rPr>
          <w:rFonts w:ascii="Consolas" w:hAnsi="Consolas" w:eastAsia="Consolas"/>
          <w:sz w:val="17"/>
        </w:rPr>
        <w:t>npm install</w:t>
        <w:br/>
      </w:r>
      <w:r>
        <w:rPr>
          <w:rFonts w:ascii="Consolas" w:hAnsi="Consolas" w:eastAsia="Consolas"/>
          <w:sz w:val="17"/>
        </w:rPr>
        <w:t>npx playwright install chromium</w:t>
        <w:br/>
      </w:r>
      <w:r>
        <w:rPr>
          <w:rFonts w:ascii="Consolas" w:hAnsi="Consolas" w:eastAsia="Consolas"/>
          <w:sz w:val="17"/>
        </w:rPr>
        <w:t xml:space="preserve"> </w:t>
        <w:br/>
      </w:r>
      <w:r>
        <w:rPr>
          <w:rFonts w:ascii="Consolas" w:hAnsi="Consolas" w:eastAsia="Consolas"/>
          <w:sz w:val="17"/>
        </w:rPr>
        <w:t># 3. Ejecutar</w:t>
        <w:br/>
      </w:r>
      <w:r>
        <w:rPr>
          <w:rFonts w:ascii="Consolas" w:hAnsi="Consolas" w:eastAsia="Consolas"/>
          <w:sz w:val="17"/>
        </w:rPr>
        <w:t>npm test                            # 36 escenarios</w:t>
        <w:br/>
      </w:r>
      <w:r>
        <w:rPr>
          <w:rFonts w:ascii="Consolas" w:hAnsi="Consolas" w:eastAsia="Consolas"/>
          <w:sz w:val="17"/>
        </w:rPr>
        <w:t>npm run test:api                    # 27, sin navegador</w:t>
        <w:br/>
      </w:r>
      <w:r>
        <w:rPr>
          <w:rFonts w:ascii="Consolas" w:hAnsi="Consolas" w:eastAsia="Consolas"/>
          <w:sz w:val="17"/>
        </w:rPr>
        <w:t>npm run test:web                    # 9, con Chromium</w:t>
        <w:br/>
      </w:r>
      <w:r>
        <w:rPr>
          <w:rFonts w:ascii="Consolas" w:hAnsi="Consolas" w:eastAsia="Consolas"/>
          <w:sz w:val="17"/>
        </w:rPr>
        <w:t>npm run test:smoke                  # 10 de humo</w:t>
        <w:br/>
      </w:r>
      <w:r>
        <w:rPr>
          <w:rFonts w:ascii="Consolas" w:hAnsi="Consolas" w:eastAsia="Consolas"/>
          <w:sz w:val="17"/>
        </w:rPr>
        <w:t>npm test -- --tags @seguridad       # autorización y type juggling</w:t>
        <w:br/>
      </w:r>
      <w:r>
        <w:rPr>
          <w:rFonts w:ascii="Consolas" w:hAnsi="Consolas" w:eastAsia="Consolas"/>
          <w:sz w:val="17"/>
        </w:rPr>
        <w:t>npm run test:report                 # reporte en http://localhost:8080</w:t>
      </w:r>
    </w:p>
    <w:p>
      <w:r>
        <w:rPr/>
        <w:t xml:space="preserve">Desde la raíz: </w:t>
      </w:r>
      <w:r>
        <w:rPr>
          <w:rFonts w:ascii="Consolas" w:hAnsi="Consolas"/>
          <w:b w:val="0"/>
          <w:color w:val="8B1E3F"/>
          <w:sz w:val="19"/>
        </w:rPr>
        <w:t>npm run test:e2e</w:t>
      </w:r>
      <w:r>
        <w:rPr/>
        <w:t xml:space="preserve">. Para ver el navegador: </w:t>
      </w:r>
      <w:r>
        <w:rPr>
          <w:rFonts w:ascii="Consolas" w:hAnsi="Consolas"/>
          <w:b w:val="0"/>
          <w:color w:val="8B1E3F"/>
          <w:sz w:val="19"/>
        </w:rPr>
        <w:t>HEADLESS=false</w:t>
      </w:r>
      <w:r>
        <w:rPr/>
        <w:t xml:space="preserve"> (en PowerShell, </w:t>
      </w:r>
      <w:r>
        <w:rPr>
          <w:rFonts w:ascii="Consolas" w:hAnsi="Consolas"/>
          <w:b w:val="0"/>
          <w:color w:val="8B1E3F"/>
          <w:sz w:val="19"/>
        </w:rPr>
        <w:t>$env:HEADLESS = "false"</w:t>
      </w:r>
      <w:r>
        <w:rPr/>
        <w:t>).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17. Archivos entregados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9"/>
        <w:gridCol w:w="4131"/>
      </w:tblGrid>
      <w:tr>
        <w:trPr>
          <w:cantSplit w:val="true"/>
          <w:tblHeader w:val="true"/>
        </w:trPr>
        <w:tc>
          <w:tcPr>
            <w:tcW w:type="dxa" w:w="450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413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e2e/features/**/*.feature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7 features, 36 escenarios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e2e/features/step-definitions/*.steps.ts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Enlace Gherkin → Screenplay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e2e/features/support/serenity.config.ts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Elenco, habilidades, tiempos y reporte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e2e/test/tasks/{api,web}/*.ts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Tareas de negocio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e2e/test/questions/*.ts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Preguntas sobre la API y la pantalla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e2e/test/ui/*.ts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Lean Page Objects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e2e/test/support/*.ts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Entorno, datos únicos, notas y credenciales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e2e/README.md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Guía rápida de la suite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frontend/src/…</w:t>
            </w:r>
            <w:r>
              <w:rPr>
                <w:sz w:val="19"/>
              </w:rPr>
              <w:t xml:space="preserve"> (4 componentes)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Atributos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data-testid</w:t>
            </w:r>
            <w:r>
              <w:rPr>
                <w:sz w:val="19"/>
              </w:rPr>
              <w:t xml:space="preserve"> (sección 8)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package.json</w:t>
            </w:r>
            <w:r>
              <w:rPr>
                <w:sz w:val="19"/>
              </w:rPr>
              <w:t xml:space="preserve"> (raíz),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AGENTS.md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Script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test:e2e</w:t>
            </w:r>
            <w:r>
              <w:rPr>
                <w:sz w:val="19"/>
              </w:rPr>
              <w:t xml:space="preserve"> y mapa del repositorio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docs/pruebas-e2e-bolsillos.{md,docx,pdf}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Este documento</w:t>
            </w:r>
          </w:p>
        </w:tc>
      </w:tr>
      <w:tr>
        <w:trPr>
          <w:cantSplit w:val="true"/>
        </w:trPr>
        <w:tc>
          <w:tcPr>
            <w:tcW w:type="dxa" w:w="45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docs/evidencia-e2e-bolsillos/</w:t>
            </w:r>
          </w:p>
        </w:tc>
        <w:tc>
          <w:tcPr>
            <w:tcW w:type="dxa" w:w="4131"/>
          </w:tcPr>
          <w:p>
            <w:pPr>
              <w:spacing w:after="0"/>
              <w:jc w:val="left"/>
            </w:pPr>
            <w:r>
              <w:rPr>
                <w:sz w:val="19"/>
              </w:rPr>
              <w:t>Evidencia de la sección 13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18. Guion de sustentación</w:t>
      </w:r>
    </w:p>
    <w:p>
      <w:r>
        <w:rPr>
          <w:b/>
        </w:rPr>
        <w:t>En 30 segundos.</w:t>
      </w:r>
      <w:r>
        <w:rPr/>
        <w:t xml:space="preserve"> Tomé el proyecto de Serenity/JS del curso y lo apliqué a mis seis funcionalidades sobre la aplicación real: 36 escenarios en Gherkin, automatizados con el patrón Screenplay, por API y por navegador. Cada escenario crea su propio cliente, así que son independientes. La suite encontró un defecto que ninguna de las 330 pruebas anteriores podía ver: sin "Recordarme", la app no mandaba el token y el cliente no veía sus cuentas.</w:t>
      </w:r>
    </w:p>
    <w:p>
      <w:r>
        <w:rPr>
          <w:b/>
        </w:rPr>
        <w:t>Demo sugerida.</w:t>
      </w:r>
    </w:p>
    <w:p>
      <w:pPr>
        <w:pStyle w:val="ListNumber"/>
        <w:numPr>
          <w:ilvl w:val="0"/>
          <w:numId w:val="13"/>
        </w:numPr>
        <w:spacing w:after="60"/>
      </w:pPr>
      <w:r>
        <w:rPr/>
        <w:t xml:space="preserve">Mostrar un </w:t>
      </w:r>
      <w:r>
        <w:rPr>
          <w:rFonts w:ascii="Consolas" w:hAnsi="Consolas"/>
          <w:b w:val="0"/>
          <w:color w:val="8B1E3F"/>
          <w:sz w:val="19"/>
        </w:rPr>
        <w:t>.feature</w:t>
      </w:r>
      <w:r>
        <w:rPr/>
        <w:t xml:space="preserve"> y seguir un paso hasta su </w:t>
      </w:r>
      <w:r>
        <w:rPr>
          <w:i/>
        </w:rPr>
        <w:t>Task</w:t>
      </w:r>
      <w:r>
        <w:rPr/>
        <w:t xml:space="preserve"> y sus </w:t>
      </w:r>
      <w:r>
        <w:rPr>
          <w:i/>
        </w:rPr>
        <w:t>Interactions</w:t>
      </w:r>
      <w:r>
        <w:rPr/>
        <w:t>.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Consolas" w:hAnsi="Consolas"/>
          <w:b w:val="0"/>
          <w:color w:val="8B1E3F"/>
          <w:sz w:val="19"/>
        </w:rPr>
        <w:t>HEADLESS=false npm run test:web -- --tags @smoke</w:t>
      </w:r>
      <w:r>
        <w:rPr/>
        <w:t xml:space="preserve"> → se ve el navegador crear, abonar y eliminar.</w:t>
      </w:r>
    </w:p>
    <w:p>
      <w:pPr>
        <w:pStyle w:val="ListNumber"/>
        <w:numPr>
          <w:ilvl w:val="0"/>
          <w:numId w:val="13"/>
        </w:numPr>
        <w:spacing w:after="60"/>
      </w:pPr>
      <w:r>
        <w:rPr/>
        <w:t>Abrir el reporte (</w:t>
      </w:r>
      <w:r>
        <w:rPr>
          <w:rFonts w:ascii="Consolas" w:hAnsi="Consolas"/>
          <w:b w:val="0"/>
          <w:color w:val="8B1E3F"/>
          <w:sz w:val="19"/>
        </w:rPr>
        <w:t>npm run test:report</w:t>
      </w:r>
      <w:r>
        <w:rPr/>
        <w:t>): requisito → escenario → pasos → petición HTTP y captura.</w:t>
      </w:r>
    </w:p>
    <w:p>
      <w:pPr>
        <w:pStyle w:val="ListNumber"/>
        <w:numPr>
          <w:ilvl w:val="0"/>
          <w:numId w:val="13"/>
        </w:numPr>
        <w:spacing w:after="60"/>
      </w:pPr>
      <w:r>
        <w:rPr/>
        <w:t xml:space="preserve">Mutación en vivo: en </w:t>
      </w:r>
      <w:r>
        <w:rPr>
          <w:rFonts w:ascii="Consolas" w:hAnsi="Consolas"/>
          <w:b w:val="0"/>
          <w:color w:val="8B1E3F"/>
          <w:sz w:val="19"/>
        </w:rPr>
        <w:t>api.client.ts</w:t>
      </w:r>
      <w:r>
        <w:rPr/>
        <w:t xml:space="preserve"> dejar solo </w:t>
      </w:r>
      <w:r>
        <w:rPr>
          <w:rFonts w:ascii="Consolas" w:hAnsi="Consolas"/>
          <w:b w:val="0"/>
          <w:color w:val="8B1E3F"/>
          <w:sz w:val="19"/>
        </w:rPr>
        <w:t>localStorage.getItem('token')</w:t>
      </w:r>
      <w:r>
        <w:rPr/>
        <w:t xml:space="preserve"> → los escenarios web fallan (E2E-01 vuelve); revertir → verde.</w:t>
      </w:r>
    </w:p>
    <w:p>
      <w:r>
        <w:rPr>
          <w:b/>
        </w:rPr>
        <w:t>Preguntas probables.</w:t>
      </w:r>
    </w:p>
    <w:p>
      <w:pPr>
        <w:pStyle w:val="ListBullet"/>
        <w:spacing w:after="60"/>
      </w:pPr>
      <w:r>
        <w:rPr>
          <w:b/>
        </w:rPr>
        <w:t>¿Qué aporta Screenplay frente a Page Objects?</w:t>
      </w:r>
      <w:r>
        <w:rPr/>
        <w:t xml:space="preserve"> Separa el </w:t>
      </w:r>
      <w:r>
        <w:rPr>
          <w:i/>
        </w:rPr>
        <w:t>qué</w:t>
      </w:r>
      <w:r>
        <w:rPr/>
        <w:t xml:space="preserve"> (tareas del dominio) del </w:t>
      </w:r>
      <w:r>
        <w:rPr>
          <w:i/>
        </w:rPr>
        <w:t>cómo</w:t>
      </w:r>
      <w:r>
        <w:rPr/>
        <w:t xml:space="preserve"> (interacciones). Un mismo actor usa la API y el navegador, y las tareas se reutilizan entre escenarios sin heredar páginas.</w:t>
      </w:r>
    </w:p>
    <w:p>
      <w:pPr>
        <w:pStyle w:val="ListBullet"/>
        <w:spacing w:after="60"/>
      </w:pPr>
      <w:r>
        <w:rPr>
          <w:b/>
        </w:rPr>
        <w:t>¿Por qué crear un usuario por escenario?</w:t>
      </w:r>
      <w:r>
        <w:rPr/>
        <w:t xml:space="preserve"> Independencia y repetibilidad: no hay orden entre escenarios ni datos compartidos que se ensucien. El costo es dejar usuarios de prueba, que son identificables.</w:t>
      </w:r>
    </w:p>
    <w:p>
      <w:pPr>
        <w:pStyle w:val="ListBullet"/>
        <w:spacing w:after="60"/>
      </w:pPr>
      <w:r>
        <w:rPr>
          <w:b/>
        </w:rPr>
        <w:t>¿Por qué mezclar API y pantalla?</w:t>
      </w:r>
      <w:r>
        <w:rPr/>
        <w:t xml:space="preserve"> Preparar datos por API es rápido y estable; la pantalla se reserva para lo que solo ella puede probar. Y verificar el saldo por API después de una acción en pantalla confirma el efecto real, no solo lo que se pinta.</w:t>
      </w:r>
    </w:p>
    <w:p>
      <w:pPr>
        <w:pStyle w:val="ListBullet"/>
        <w:spacing w:after="60"/>
      </w:pPr>
      <w:r>
        <w:rPr>
          <w:b/>
        </w:rPr>
        <w:t>¿Cómo evitan pruebas inestables?</w:t>
      </w:r>
      <w:r>
        <w:rPr/>
        <w:t xml:space="preserve"> Sin </w:t>
      </w:r>
      <w:r>
        <w:rPr>
          <w:rFonts w:ascii="Consolas" w:hAnsi="Consolas"/>
          <w:b w:val="0"/>
          <w:color w:val="8B1E3F"/>
          <w:sz w:val="19"/>
        </w:rPr>
        <w:t>sleep</w:t>
      </w:r>
      <w:r>
        <w:rPr/>
        <w:t>: esperas por condición (</w:t>
      </w:r>
      <w:r>
        <w:rPr>
          <w:rFonts w:ascii="Consolas" w:hAnsi="Consolas"/>
          <w:b w:val="0"/>
          <w:color w:val="8B1E3F"/>
          <w:sz w:val="19"/>
        </w:rPr>
        <w:t>Wait.until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Ensure.eventually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networkidle</w:t>
      </w:r>
      <w:r>
        <w:rPr/>
        <w:t>) y selectores por contenido, no por posición.</w:t>
      </w:r>
    </w:p>
    <w:p>
      <w:pPr>
        <w:pStyle w:val="ListBullet"/>
        <w:spacing w:after="60"/>
      </w:pPr>
      <w:r>
        <w:rPr>
          <w:b/>
        </w:rPr>
        <w:t>¿Por qué no está en Jenkins?</w:t>
      </w:r>
      <w:r>
        <w:rPr/>
        <w:t xml:space="preserve"> Necesita la aplicación y la base de datos arriba; la sección 15 propone la etapa con </w:t>
      </w:r>
      <w:r>
        <w:rPr>
          <w:rFonts w:ascii="Consolas" w:hAnsi="Consolas"/>
          <w:b w:val="0"/>
          <w:color w:val="8B1E3F"/>
          <w:sz w:val="19"/>
        </w:rPr>
        <w:t>@smoke</w:t>
      </w:r>
      <w:r>
        <w:rPr/>
        <w:t>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19. Conclusiones</w:t>
      </w:r>
    </w:p>
    <w:p>
      <w:pPr>
        <w:pStyle w:val="ListBullet"/>
        <w:spacing w:after="60"/>
      </w:pPr>
      <w:r>
        <w:rPr/>
        <w:t xml:space="preserve">Las seis funcionalidades quedan cubiertas por </w:t>
      </w:r>
      <w:r>
        <w:rPr>
          <w:b/>
        </w:rPr>
        <w:t>36 escenarios de aceptación</w:t>
      </w:r>
      <w:r>
        <w:rPr/>
        <w:t xml:space="preserve"> que se leen como especificación y se ejecutan contra el sistema real, en </w:t>
      </w:r>
      <w:r>
        <w:rPr>
          <w:b/>
        </w:rPr>
        <w:t>API y navegador</w:t>
      </w:r>
      <w:r>
        <w:rPr/>
        <w:t>.</w:t>
      </w:r>
    </w:p>
    <w:p>
      <w:pPr>
        <w:pStyle w:val="ListBullet"/>
        <w:spacing w:after="60"/>
      </w:pPr>
      <w:r>
        <w:rPr/>
        <w:t xml:space="preserve">La suite encontró </w:t>
      </w:r>
      <w:r>
        <w:rPr>
          <w:b/>
        </w:rPr>
        <w:t>E2E-01</w:t>
      </w:r>
      <w:r>
        <w:rPr/>
        <w:t xml:space="preserve">, un defecto de integración frontend–API de severidad alta que era invisible para las suites que simulan alguna capa. Ya está corregido en </w:t>
      </w:r>
      <w:r>
        <w:rPr>
          <w:rFonts w:ascii="Consolas" w:hAnsi="Consolas"/>
          <w:b w:val="0"/>
          <w:color w:val="8B1E3F"/>
          <w:sz w:val="19"/>
        </w:rPr>
        <w:t>dev</w:t>
      </w:r>
      <w:r>
        <w:rPr/>
        <w:t xml:space="preserve"> y queda vigilado por los 9 escenarios web.</w:t>
      </w:r>
    </w:p>
    <w:p>
      <w:pPr>
        <w:pStyle w:val="ListBullet"/>
        <w:spacing w:after="60"/>
      </w:pPr>
      <w:r>
        <w:rPr/>
        <w:t xml:space="preserve">Las mutaciones confirman que la suite </w:t>
      </w:r>
      <w:r>
        <w:rPr>
          <w:b/>
        </w:rPr>
        <w:t>falla cuando el comportamiento se rompe</w:t>
      </w:r>
      <w:r>
        <w:rPr/>
        <w:t>, tanto en el backend como en la interfaz.</w:t>
      </w:r>
    </w:p>
    <w:p>
      <w:pPr>
        <w:pStyle w:val="ListBullet"/>
        <w:spacing w:after="60"/>
      </w:pPr>
      <w:r>
        <w:rPr/>
        <w:t xml:space="preserve">Los controles de autorización y de montos estrictos, corregidos en la fase de seguridad, se verificaron de nuevo </w:t>
      </w:r>
      <w:r>
        <w:rPr>
          <w:b/>
        </w:rPr>
        <w:t>sobre HTTP real y Supabase</w:t>
      </w:r>
      <w:r>
        <w:rPr/>
        <w:t>.</w:t>
      </w:r>
    </w:p>
    <w:p>
      <w:pPr>
        <w:pStyle w:val="ListBullet"/>
        <w:spacing w:after="60"/>
      </w:pPr>
      <w:r>
        <w:rPr/>
        <w:t>La testabilidad del frontend mejoró sin cambiar su comportamiento, con un beneficio de accesibilidad (etiquetas asociadas a sus campos).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Pruebas E2E — Bolsillos y Depósito · FuBanking · pág. </w:t>
    </w:r>
    <w:r>
      <w:rPr>
        <w:color w:val="595959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End-to-End — Módulo Bolsillos y Depósito (FuBanking)</dc:title>
  <dc:subject>Validación y Verificación de Software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