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1F4E79"/>
          <w:sz w:val="40"/>
        </w:rPr>
        <w:t xml:space="preserve">Pruebas de Seguridad — Módulo </w:t>
      </w:r>
      <w:r>
        <w:rPr>
          <w:b/>
          <w:color w:val="1F4E79"/>
          <w:sz w:val="40"/>
        </w:rPr>
        <w:t>Bolsillos</w:t>
      </w:r>
      <w:r>
        <w:rPr>
          <w:b/>
          <w:color w:val="1F4E79"/>
          <w:sz w:val="40"/>
        </w:rPr>
        <w:t xml:space="preserve"> y </w:t>
      </w:r>
      <w:r>
        <w:rPr>
          <w:b/>
          <w:color w:val="1F4E79"/>
          <w:sz w:val="40"/>
        </w:rPr>
        <w:t>Depósito</w:t>
      </w:r>
      <w:r>
        <w:rPr>
          <w:b/>
          <w:color w:val="1F4E79"/>
          <w:sz w:val="40"/>
        </w:rPr>
        <w:t xml:space="preserve"> (FuBanking)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6340"/>
      </w:tblGrid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Asignatura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Validación y Verificación de Software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Proyecto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FuBanking — Banco digital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Alcance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Bolsillos (crear, consultar, actualizar, eliminar, transferir) + Depositar dinero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Tipo de prueba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Seguridad (security testing) convertida en regresión automatizada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Rama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tests/bolsillos-calidad</w:t>
            </w:r>
            <w:r>
              <w:rPr>
                <w:sz w:val="19"/>
              </w:rPr>
              <w:t xml:space="preserve"> (desde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dev</w:t>
            </w:r>
            <w:r>
              <w:rPr>
                <w:sz w:val="19"/>
              </w:rPr>
              <w:t>)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Fecha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2026-10-08</w:t>
            </w:r>
          </w:p>
        </w:tc>
      </w:tr>
    </w:tbl>
    <w:p>
      <w:pPr>
        <w:spacing w:after="40"/>
      </w:pP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1. Resumen ejecutivo</w:t>
      </w:r>
    </w:p>
    <w:p>
      <w:r>
        <w:rPr/>
        <w:t xml:space="preserve">Se diseñó y ejecutó una suite de </w:t>
      </w:r>
      <w:r>
        <w:rPr>
          <w:b/>
        </w:rPr>
        <w:t>158 pruebas de seguridad</w:t>
      </w:r>
      <w:r>
        <w:rPr/>
        <w:t>: 154 en el backend y 4 en el frontend. Cubren las seis funcionalidades frente a cinco familias de amenazas: autenticación, autorización, validación de entrada, neutralización de salida y endurecimiento de la aplicación.</w:t>
      </w:r>
    </w:p>
    <w:p>
      <w:r>
        <w:rPr/>
        <w:t xml:space="preserve">La suite confirmó </w:t>
      </w:r>
      <w:r>
        <w:rPr>
          <w:b/>
        </w:rPr>
        <w:t>8 hallazgos</w:t>
      </w:r>
      <w:r>
        <w:rPr/>
        <w:t xml:space="preserve">. El ciclo fue </w:t>
      </w:r>
      <w:r>
        <w:rPr>
          <w:i/>
        </w:rPr>
        <w:t>documentar → refactorizar</w:t>
      </w:r>
      <w:r>
        <w:rPr/>
        <w:t>: primero cada hallazgo quedó como prueba que afirma el comportamiento seguro y falla (</w:t>
      </w:r>
      <w:r>
        <w:rPr>
          <w:rFonts w:ascii="Consolas" w:hAnsi="Consolas"/>
          <w:b w:val="0"/>
          <w:color w:val="8B1E3F"/>
          <w:sz w:val="19"/>
        </w:rPr>
        <w:t>it.fails</w:t>
      </w:r>
      <w:r>
        <w:rPr/>
        <w:t>); después se corrigieron los cuatro de mayor impacto y sus pruebas pasaron a ser normales.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3"/>
        <w:gridCol w:w="1924"/>
        <w:gridCol w:w="2043"/>
      </w:tblGrid>
      <w:tr>
        <w:trPr>
          <w:cantSplit w:val="true"/>
          <w:tblHeader w:val="true"/>
        </w:trPr>
        <w:tc>
          <w:tcPr>
            <w:tcW w:type="dxa" w:w="4673"/>
            <w:shd w:val="clear" w:color="auto" w:fill="EAF1F8"/>
          </w:tcPr>
          <w:p>
            <w:pPr>
              <w:spacing w:after="0"/>
              <w:jc w:val="left"/>
            </w:pPr>
          </w:p>
        </w:tc>
        <w:tc>
          <w:tcPr>
            <w:tcW w:type="dxa" w:w="1924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Antes del refactor</w:t>
            </w:r>
          </w:p>
        </w:tc>
        <w:tc>
          <w:tcPr>
            <w:tcW w:type="dxa" w:w="204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Después del refactor</w:t>
            </w:r>
          </w:p>
        </w:tc>
      </w:tr>
      <w:tr>
        <w:trPr>
          <w:cantSplit w:val="true"/>
        </w:trPr>
        <w:tc>
          <w:tcPr>
            <w:tcW w:type="dxa" w:w="4673"/>
          </w:tcPr>
          <w:p>
            <w:pPr>
              <w:spacing w:after="0"/>
              <w:jc w:val="left"/>
            </w:pPr>
            <w:r>
              <w:rPr>
                <w:sz w:val="19"/>
              </w:rPr>
              <w:t>Pruebas de seguridad del backend que pasan</w:t>
            </w:r>
          </w:p>
        </w:tc>
        <w:tc>
          <w:tcPr>
            <w:tcW w:type="dxa" w:w="1924"/>
          </w:tcPr>
          <w:p>
            <w:pPr>
              <w:spacing w:after="0"/>
              <w:jc w:val="left"/>
            </w:pPr>
            <w:r>
              <w:rPr>
                <w:sz w:val="19"/>
              </w:rPr>
              <w:t>117</w:t>
            </w:r>
          </w:p>
        </w:tc>
        <w:tc>
          <w:tcPr>
            <w:tcW w:type="dxa" w:w="2043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144</w:t>
            </w:r>
          </w:p>
        </w:tc>
      </w:tr>
      <w:tr>
        <w:trPr>
          <w:cantSplit w:val="true"/>
        </w:trPr>
        <w:tc>
          <w:tcPr>
            <w:tcW w:type="dxa" w:w="4673"/>
          </w:tcPr>
          <w:p>
            <w:pPr>
              <w:spacing w:after="0"/>
              <w:jc w:val="left"/>
            </w:pPr>
            <w:r>
              <w:rPr>
                <w:sz w:val="19"/>
              </w:rPr>
              <w:t>Pruebas que documentan una vulnerabilidad abierta (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it.fails</w:t>
            </w:r>
            <w:r>
              <w:rPr>
                <w:sz w:val="19"/>
              </w:rPr>
              <w:t>)</w:t>
            </w:r>
          </w:p>
        </w:tc>
        <w:tc>
          <w:tcPr>
            <w:tcW w:type="dxa" w:w="1924"/>
          </w:tcPr>
          <w:p>
            <w:pPr>
              <w:spacing w:after="0"/>
              <w:jc w:val="left"/>
            </w:pPr>
            <w:r>
              <w:rPr>
                <w:sz w:val="19"/>
              </w:rPr>
              <w:t>37</w:t>
            </w:r>
          </w:p>
        </w:tc>
        <w:tc>
          <w:tcPr>
            <w:tcW w:type="dxa" w:w="2043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10</w:t>
            </w:r>
          </w:p>
        </w:tc>
      </w:tr>
      <w:tr>
        <w:trPr>
          <w:cantSplit w:val="true"/>
        </w:trPr>
        <w:tc>
          <w:tcPr>
            <w:tcW w:type="dxa" w:w="4673"/>
          </w:tcPr>
          <w:p>
            <w:pPr>
              <w:spacing w:after="0"/>
              <w:jc w:val="left"/>
            </w:pPr>
            <w:r>
              <w:rPr>
                <w:sz w:val="19"/>
              </w:rPr>
              <w:t>Hallazgos abiertos</w:t>
            </w:r>
          </w:p>
        </w:tc>
        <w:tc>
          <w:tcPr>
            <w:tcW w:type="dxa" w:w="1924"/>
          </w:tcPr>
          <w:p>
            <w:pPr>
              <w:spacing w:after="0"/>
              <w:jc w:val="left"/>
            </w:pPr>
            <w:r>
              <w:rPr>
                <w:sz w:val="19"/>
              </w:rPr>
              <w:t>8</w:t>
            </w:r>
          </w:p>
        </w:tc>
        <w:tc>
          <w:tcPr>
            <w:tcW w:type="dxa" w:w="2043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4673"/>
          </w:tcPr>
          <w:p>
            <w:pPr>
              <w:spacing w:after="0"/>
              <w:jc w:val="left"/>
            </w:pPr>
            <w:r>
              <w:rPr>
                <w:sz w:val="19"/>
              </w:rPr>
              <w:t>Suite completa del backend</w:t>
            </w:r>
          </w:p>
        </w:tc>
        <w:tc>
          <w:tcPr>
            <w:tcW w:type="dxa" w:w="1924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772 + 42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it.fails</w:t>
            </w:r>
          </w:p>
        </w:tc>
        <w:tc>
          <w:tcPr>
            <w:tcW w:type="dxa" w:w="2043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 xml:space="preserve">801 + 13 </w:t>
            </w:r>
            <w:r>
              <w:rPr>
                <w:rFonts w:ascii="Consolas" w:hAnsi="Consolas"/>
                <w:b/>
                <w:color w:val="8B1E3F"/>
                <w:sz w:val="17"/>
              </w:rPr>
              <w:t>it.fails</w:t>
            </w:r>
          </w:p>
        </w:tc>
      </w:tr>
      <w:tr>
        <w:trPr>
          <w:cantSplit w:val="true"/>
        </w:trPr>
        <w:tc>
          <w:tcPr>
            <w:tcW w:type="dxa" w:w="4673"/>
          </w:tcPr>
          <w:p>
            <w:pPr>
              <w:spacing w:after="0"/>
              <w:jc w:val="left"/>
            </w:pPr>
            <w:r>
              <w:rPr>
                <w:sz w:val="19"/>
              </w:rPr>
              <w:t>Cobertura de líneas del backend</w:t>
            </w:r>
          </w:p>
        </w:tc>
        <w:tc>
          <w:tcPr>
            <w:tcW w:type="dxa" w:w="1924"/>
          </w:tcPr>
          <w:p>
            <w:pPr>
              <w:spacing w:after="0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type="dxa" w:w="2043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99,6 %</w:t>
            </w:r>
          </w:p>
        </w:tc>
      </w:tr>
    </w:tbl>
    <w:p>
      <w:pPr>
        <w:spacing w:after="40"/>
      </w:pPr>
    </w:p>
    <w:p>
      <w:r>
        <w:rPr>
          <w:b/>
        </w:rPr>
        <w:t>Hallazgo más grave (corregido):</w:t>
      </w:r>
      <w:r>
        <w:rPr/>
        <w:t xml:space="preserve"> el token temporal que se entrega tras escribir la contraseña, </w:t>
      </w:r>
      <w:r>
        <w:rPr>
          <w:i/>
        </w:rPr>
        <w:t>antes</w:t>
      </w:r>
      <w:r>
        <w:rPr/>
        <w:t xml:space="preserve"> de validar el código OTP, servía como token de acceso completo. Quien conociera la contraseña de un usuario podía operar sus bolsillos y depositar </w:t>
      </w:r>
      <w:r>
        <w:rPr>
          <w:b/>
        </w:rPr>
        <w:t>sin el segundo factor</w:t>
      </w:r>
      <w:r>
        <w:rPr/>
        <w:t xml:space="preserve"> (bypass de 2FA). El token de recuperación de contraseña tenía el mismo problema.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2. Sistema bajo prueba</w:t>
      </w:r>
    </w:p>
    <w:p>
      <w:pPr>
        <w:pStyle w:val="Heading2"/>
      </w:pPr>
      <w:r>
        <w:rPr/>
        <w:t>2.1 Superficie de ataque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"/>
        <w:gridCol w:w="2063"/>
        <w:gridCol w:w="3863"/>
        <w:gridCol w:w="2246"/>
      </w:tblGrid>
      <w:tr>
        <w:trPr>
          <w:cantSplit w:val="true"/>
          <w:tblHeader w:val="true"/>
        </w:trPr>
        <w:tc>
          <w:tcPr>
            <w:tcW w:type="dxa" w:w="468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206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Funcionalidad</w:t>
            </w:r>
          </w:p>
        </w:tc>
        <w:tc>
          <w:tcPr>
            <w:tcW w:type="dxa" w:w="386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Endpoint</w:t>
            </w:r>
          </w:p>
        </w:tc>
        <w:tc>
          <w:tcPr>
            <w:tcW w:type="dxa" w:w="224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Entrada controlada por el cliente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063"/>
          </w:tcPr>
          <w:p>
            <w:pPr>
              <w:spacing w:after="0"/>
              <w:jc w:val="left"/>
            </w:pPr>
            <w:r>
              <w:rPr>
                <w:sz w:val="19"/>
              </w:rPr>
              <w:t>Crear bolsillo</w:t>
            </w:r>
          </w:p>
        </w:tc>
        <w:tc>
          <w:tcPr>
            <w:tcW w:type="dxa" w:w="3863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POST /api/v1/pockets</w:t>
            </w:r>
          </w:p>
        </w:tc>
        <w:tc>
          <w:tcPr>
            <w:tcW w:type="dxa" w:w="224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accountId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amount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063"/>
          </w:tcPr>
          <w:p>
            <w:pPr>
              <w:spacing w:after="0"/>
              <w:jc w:val="left"/>
            </w:pPr>
            <w:r>
              <w:rPr>
                <w:sz w:val="19"/>
              </w:rPr>
              <w:t>Consultar bolsillos</w:t>
            </w:r>
          </w:p>
        </w:tc>
        <w:tc>
          <w:tcPr>
            <w:tcW w:type="dxa" w:w="3863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GET /api/v1/pockets/account/:accountId</w:t>
            </w:r>
          </w:p>
        </w:tc>
        <w:tc>
          <w:tcPr>
            <w:tcW w:type="dxa" w:w="224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accountId</w:t>
            </w:r>
            <w:r>
              <w:rPr>
                <w:sz w:val="19"/>
              </w:rPr>
              <w:t xml:space="preserve"> (URL)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063"/>
          </w:tcPr>
          <w:p>
            <w:pPr>
              <w:spacing w:after="0"/>
              <w:jc w:val="left"/>
            </w:pPr>
            <w:r>
              <w:rPr>
                <w:sz w:val="19"/>
              </w:rPr>
              <w:t>Actualizar bolsillo</w:t>
            </w:r>
          </w:p>
        </w:tc>
        <w:tc>
          <w:tcPr>
            <w:tcW w:type="dxa" w:w="3863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PATCH /api/v1/pockets/:pocketId</w:t>
            </w:r>
          </w:p>
        </w:tc>
        <w:tc>
          <w:tcPr>
            <w:tcW w:type="dxa" w:w="224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pocketId</w:t>
            </w:r>
            <w:r>
              <w:rPr>
                <w:sz w:val="19"/>
              </w:rPr>
              <w:t xml:space="preserve"> (URL),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amount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2063"/>
          </w:tcPr>
          <w:p>
            <w:pPr>
              <w:spacing w:after="0"/>
              <w:jc w:val="left"/>
            </w:pPr>
            <w:r>
              <w:rPr>
                <w:sz w:val="19"/>
              </w:rPr>
              <w:t>Eliminar bolsillo</w:t>
            </w:r>
          </w:p>
        </w:tc>
        <w:tc>
          <w:tcPr>
            <w:tcW w:type="dxa" w:w="3863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DELETE /api/v1/pockets/:pocketId</w:t>
            </w:r>
          </w:p>
        </w:tc>
        <w:tc>
          <w:tcPr>
            <w:tcW w:type="dxa" w:w="224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pocketId</w:t>
            </w:r>
            <w:r>
              <w:rPr>
                <w:sz w:val="19"/>
              </w:rPr>
              <w:t xml:space="preserve"> (URL)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2063"/>
          </w:tcPr>
          <w:p>
            <w:pPr>
              <w:spacing w:after="0"/>
              <w:jc w:val="left"/>
            </w:pPr>
            <w:r>
              <w:rPr>
                <w:sz w:val="19"/>
              </w:rPr>
              <w:t>Transferir entre bolsillos</w:t>
            </w:r>
          </w:p>
        </w:tc>
        <w:tc>
          <w:tcPr>
            <w:tcW w:type="dxa" w:w="3863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POST /api/v1/pockets/transfer</w:t>
            </w:r>
          </w:p>
        </w:tc>
        <w:tc>
          <w:tcPr>
            <w:tcW w:type="dxa" w:w="224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fromPocketId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toPocketId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amount</w:t>
            </w:r>
          </w:p>
        </w:tc>
      </w:tr>
      <w:tr>
        <w:trPr>
          <w:cantSplit w:val="true"/>
        </w:trPr>
        <w:tc>
          <w:tcPr>
            <w:tcW w:type="dxa" w:w="468"/>
          </w:tcPr>
          <w:p>
            <w:pPr>
              <w:spacing w:after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2063"/>
          </w:tcPr>
          <w:p>
            <w:pPr>
              <w:spacing w:after="0"/>
              <w:jc w:val="left"/>
            </w:pPr>
            <w:r>
              <w:rPr>
                <w:sz w:val="19"/>
              </w:rPr>
              <w:t>Depositar dinero</w:t>
            </w:r>
          </w:p>
        </w:tc>
        <w:tc>
          <w:tcPr>
            <w:tcW w:type="dxa" w:w="3863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POST /api/v1/accounts/:id/deposit</w:t>
            </w:r>
          </w:p>
        </w:tc>
        <w:tc>
          <w:tcPr>
            <w:tcW w:type="dxa" w:w="224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id</w:t>
            </w:r>
            <w:r>
              <w:rPr>
                <w:sz w:val="19"/>
              </w:rPr>
              <w:t xml:space="preserve"> (URL),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amount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description</w:t>
            </w:r>
          </w:p>
        </w:tc>
      </w:tr>
    </w:tbl>
    <w:p>
      <w:pPr>
        <w:spacing w:after="40"/>
      </w:pPr>
    </w:p>
    <w:p>
      <w:r>
        <w:rPr/>
        <w:t xml:space="preserve">Las seis exigen </w:t>
      </w:r>
      <w:r>
        <w:rPr>
          <w:rFonts w:ascii="Consolas" w:hAnsi="Consolas"/>
          <w:b w:val="0"/>
          <w:color w:val="8B1E3F"/>
          <w:sz w:val="19"/>
        </w:rPr>
        <w:t>Authorization: Bearer &lt;JWT&gt;</w:t>
      </w:r>
      <w:r>
        <w:rPr/>
        <w:t xml:space="preserve">. La identidad del usuario sale </w:t>
      </w:r>
      <w:r>
        <w:rPr>
          <w:b/>
        </w:rPr>
        <w:t>solo</w:t>
      </w:r>
      <w:r>
        <w:rPr/>
        <w:t xml:space="preserve"> del token.</w:t>
      </w:r>
    </w:p>
    <w:p>
      <w:pPr>
        <w:pStyle w:val="Heading2"/>
      </w:pPr>
      <w:r>
        <w:rPr/>
        <w:t>2.2 Activos y límites de confianza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88"/>
        <w:gridCol w:w="4352"/>
      </w:tblGrid>
      <w:tr>
        <w:trPr>
          <w:cantSplit w:val="true"/>
          <w:tblHeader w:val="true"/>
        </w:trPr>
        <w:tc>
          <w:tcPr>
            <w:tcW w:type="dxa" w:w="4288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Activo</w:t>
            </w:r>
          </w:p>
        </w:tc>
        <w:tc>
          <w:tcPr>
            <w:tcW w:type="dxa" w:w="4352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Por qué importa</w:t>
            </w:r>
          </w:p>
        </w:tc>
      </w:tr>
      <w:tr>
        <w:trPr>
          <w:cantSplit w:val="true"/>
        </w:trPr>
        <w:tc>
          <w:tcPr>
            <w:tcW w:type="dxa" w:w="4288"/>
          </w:tcPr>
          <w:p>
            <w:pPr>
              <w:spacing w:after="0"/>
              <w:jc w:val="left"/>
            </w:pPr>
            <w:r>
              <w:rPr>
                <w:sz w:val="19"/>
              </w:rPr>
              <w:t>Saldo disponible de la cuenta y monto de cada bolsillo</w:t>
            </w:r>
          </w:p>
        </w:tc>
        <w:tc>
          <w:tcPr>
            <w:tcW w:type="dxa" w:w="4352"/>
          </w:tcPr>
          <w:p>
            <w:pPr>
              <w:spacing w:after="0"/>
              <w:jc w:val="left"/>
            </w:pPr>
            <w:r>
              <w:rPr>
                <w:sz w:val="19"/>
              </w:rPr>
              <w:t>Integridad del dinero del cliente</w:t>
            </w:r>
          </w:p>
        </w:tc>
      </w:tr>
      <w:tr>
        <w:trPr>
          <w:cantSplit w:val="true"/>
        </w:trPr>
        <w:tc>
          <w:tcPr>
            <w:tcW w:type="dxa" w:w="4288"/>
          </w:tcPr>
          <w:p>
            <w:pPr>
              <w:spacing w:after="0"/>
              <w:jc w:val="left"/>
            </w:pPr>
            <w:r>
              <w:rPr>
                <w:sz w:val="19"/>
              </w:rPr>
              <w:t>Identidad del usuario (JWT)</w:t>
            </w:r>
          </w:p>
        </w:tc>
        <w:tc>
          <w:tcPr>
            <w:tcW w:type="dxa" w:w="4352"/>
          </w:tcPr>
          <w:p>
            <w:pPr>
              <w:spacing w:after="0"/>
              <w:jc w:val="left"/>
            </w:pPr>
            <w:r>
              <w:rPr>
                <w:sz w:val="19"/>
              </w:rPr>
              <w:t>Todo el control de acceso depende de ella</w:t>
            </w:r>
          </w:p>
        </w:tc>
      </w:tr>
      <w:tr>
        <w:trPr>
          <w:cantSplit w:val="true"/>
        </w:trPr>
        <w:tc>
          <w:tcPr>
            <w:tcW w:type="dxa" w:w="4288"/>
          </w:tcPr>
          <w:p>
            <w:pPr>
              <w:spacing w:after="0"/>
              <w:jc w:val="left"/>
            </w:pPr>
            <w:r>
              <w:rPr>
                <w:sz w:val="19"/>
              </w:rPr>
              <w:t>Segundo factor (OTP por correo)</w:t>
            </w:r>
          </w:p>
        </w:tc>
        <w:tc>
          <w:tcPr>
            <w:tcW w:type="dxa" w:w="4352"/>
          </w:tcPr>
          <w:p>
            <w:pPr>
              <w:spacing w:after="0"/>
              <w:jc w:val="left"/>
            </w:pPr>
            <w:r>
              <w:rPr>
                <w:sz w:val="19"/>
              </w:rPr>
              <w:t>Protege la cuenta aunque se filtre la contraseña</w:t>
            </w:r>
          </w:p>
        </w:tc>
      </w:tr>
      <w:tr>
        <w:trPr>
          <w:cantSplit w:val="true"/>
        </w:trPr>
        <w:tc>
          <w:tcPr>
            <w:tcW w:type="dxa" w:w="4288"/>
          </w:tcPr>
          <w:p>
            <w:pPr>
              <w:spacing w:after="0"/>
              <w:jc w:val="left"/>
            </w:pPr>
            <w:r>
              <w:rPr>
                <w:sz w:val="19"/>
              </w:rPr>
              <w:t>Nombre del bolsillo</w:t>
            </w:r>
          </w:p>
        </w:tc>
        <w:tc>
          <w:tcPr>
            <w:tcW w:type="dxa" w:w="4352"/>
          </w:tcPr>
          <w:p>
            <w:pPr>
              <w:spacing w:after="0"/>
              <w:jc w:val="left"/>
            </w:pPr>
            <w:r>
              <w:rPr>
                <w:sz w:val="19"/>
              </w:rPr>
              <w:t>Texto libre que se muestra en el navegador (riesgo XSS)</w:t>
            </w:r>
          </w:p>
        </w:tc>
      </w:tr>
    </w:tbl>
    <w:p>
      <w:pPr>
        <w:spacing w:after="40"/>
      </w:pP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Navegador (Next.js) ──HTTPS + JWT──► API Express ──► casos de uso ──► Supabase</w:t>
        <w:br/>
      </w:r>
      <w:r>
        <w:rPr>
          <w:rFonts w:ascii="Consolas" w:hAnsi="Consolas" w:eastAsia="Consolas"/>
          <w:sz w:val="17"/>
        </w:rPr>
        <w:t xml:space="preserve">   [no confiable]        │            authMiddleware / adminMiddleware</w:t>
        <w:br/>
      </w:r>
      <w:r>
        <w:rPr>
          <w:rFonts w:ascii="Consolas" w:hAnsi="Consolas" w:eastAsia="Consolas"/>
          <w:sz w:val="17"/>
        </w:rPr>
        <w:t xml:space="preserve">                         │            validadores zod · errorHandler · helmet · CORS</w:t>
        <w:br/>
      </w:r>
      <w:r>
        <w:rPr>
          <w:rFonts w:ascii="Consolas" w:hAnsi="Consolas" w:eastAsia="Consolas"/>
          <w:sz w:val="17"/>
        </w:rPr>
        <w:t xml:space="preserve">                    límite de confianza</w:t>
      </w:r>
    </w:p>
    <w:p>
      <w:r>
        <w:rPr/>
        <w:t xml:space="preserve">Todo lo que llega en la petición (cabeceras, URL, body) es </w:t>
      </w:r>
      <w:r>
        <w:rPr>
          <w:b/>
        </w:rPr>
        <w:t>no confiable</w:t>
      </w:r>
      <w:r>
        <w:rPr/>
        <w:t xml:space="preserve"> hasta que lo validan </w:t>
      </w:r>
      <w:r>
        <w:rPr>
          <w:rFonts w:ascii="Consolas" w:hAnsi="Consolas"/>
          <w:b w:val="0"/>
          <w:color w:val="8B1E3F"/>
          <w:sz w:val="19"/>
        </w:rPr>
        <w:t>authMiddleware</w:t>
      </w:r>
      <w:r>
        <w:rPr/>
        <w:t>, los validadores y las reglas de dominio.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3. Modelo de amenazas</w:t>
      </w:r>
    </w:p>
    <w:p>
      <w:pPr>
        <w:pStyle w:val="Heading2"/>
      </w:pPr>
      <w:r>
        <w:rPr/>
        <w:t>3.1 STRIDE aplicado al módulo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5"/>
        <w:gridCol w:w="3525"/>
        <w:gridCol w:w="2990"/>
      </w:tblGrid>
      <w:tr>
        <w:trPr>
          <w:cantSplit w:val="true"/>
          <w:tblHeader w:val="true"/>
        </w:trPr>
        <w:tc>
          <w:tcPr>
            <w:tcW w:type="dxa" w:w="2125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Categoría</w:t>
            </w:r>
          </w:p>
        </w:tc>
        <w:tc>
          <w:tcPr>
            <w:tcW w:type="dxa" w:w="3525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Amenaza concreta en Bolsillos/Depósito</w:t>
            </w:r>
          </w:p>
        </w:tc>
        <w:tc>
          <w:tcPr>
            <w:tcW w:type="dxa" w:w="299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Regla que la cubre</w:t>
            </w:r>
          </w:p>
        </w:tc>
      </w:tr>
      <w:tr>
        <w:trPr>
          <w:cantSplit w:val="true"/>
        </w:trPr>
        <w:tc>
          <w:tcPr>
            <w:tcW w:type="dxa" w:w="2125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</w:t>
            </w:r>
            <w:r>
              <w:rPr>
                <w:sz w:val="19"/>
              </w:rPr>
              <w:t>poofing (suplantación)</w:t>
            </w:r>
          </w:p>
        </w:tc>
        <w:tc>
          <w:tcPr>
            <w:tcW w:type="dxa" w:w="3525"/>
          </w:tcPr>
          <w:p>
            <w:pPr>
              <w:spacing w:after="0"/>
              <w:jc w:val="left"/>
            </w:pPr>
            <w:r>
              <w:rPr>
                <w:sz w:val="19"/>
              </w:rPr>
              <w:t>Usar un token falsificado, vencido, sin firma o de otro propósito</w:t>
            </w:r>
          </w:p>
        </w:tc>
        <w:tc>
          <w:tcPr>
            <w:tcW w:type="dxa" w:w="2990"/>
          </w:tcPr>
          <w:p>
            <w:pPr>
              <w:spacing w:after="0"/>
              <w:jc w:val="left"/>
            </w:pPr>
            <w:r>
              <w:rPr>
                <w:sz w:val="19"/>
              </w:rPr>
              <w:t>SEC-AUTH</w:t>
            </w:r>
          </w:p>
        </w:tc>
      </w:tr>
      <w:tr>
        <w:trPr>
          <w:cantSplit w:val="true"/>
        </w:trPr>
        <w:tc>
          <w:tcPr>
            <w:tcW w:type="dxa" w:w="2125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T</w:t>
            </w:r>
            <w:r>
              <w:rPr>
                <w:sz w:val="19"/>
              </w:rPr>
              <w:t>ampering (manipulación)</w:t>
            </w:r>
          </w:p>
        </w:tc>
        <w:tc>
          <w:tcPr>
            <w:tcW w:type="dxa" w:w="3525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Alterar el payload del JWT; colar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userId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accountId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id</w:t>
            </w:r>
            <w:r>
              <w:rPr>
                <w:sz w:val="19"/>
              </w:rPr>
              <w:t xml:space="preserve"> en el body; montos ambiguos</w:t>
            </w:r>
          </w:p>
        </w:tc>
        <w:tc>
          <w:tcPr>
            <w:tcW w:type="dxa" w:w="2990"/>
          </w:tcPr>
          <w:p>
            <w:pPr>
              <w:spacing w:after="0"/>
              <w:jc w:val="left"/>
            </w:pPr>
            <w:r>
              <w:rPr>
                <w:sz w:val="19"/>
              </w:rPr>
              <w:t>SEC-AUTH, SEC-AUTHZ, SEC-IN-01/02</w:t>
            </w:r>
          </w:p>
        </w:tc>
      </w:tr>
      <w:tr>
        <w:trPr>
          <w:cantSplit w:val="true"/>
        </w:trPr>
        <w:tc>
          <w:tcPr>
            <w:tcW w:type="dxa" w:w="2125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</w:t>
            </w:r>
            <w:r>
              <w:rPr>
                <w:sz w:val="19"/>
              </w:rPr>
              <w:t>epudiation</w:t>
            </w:r>
          </w:p>
        </w:tc>
        <w:tc>
          <w:tcPr>
            <w:tcW w:type="dxa" w:w="3525"/>
          </w:tcPr>
          <w:p>
            <w:pPr>
              <w:spacing w:after="0"/>
              <w:jc w:val="left"/>
            </w:pPr>
            <w:r>
              <w:rPr>
                <w:sz w:val="19"/>
              </w:rPr>
              <w:t>Operaciones sin rastro</w:t>
            </w:r>
          </w:p>
        </w:tc>
        <w:tc>
          <w:tcPr>
            <w:tcW w:type="dxa" w:w="2990"/>
          </w:tcPr>
          <w:p>
            <w:pPr>
              <w:spacing w:after="0"/>
              <w:jc w:val="left"/>
            </w:pPr>
            <w:r>
              <w:rPr>
                <w:sz w:val="19"/>
              </w:rPr>
              <w:t>Fuera de alcance (se notifica cada operación; no hay bitácora de auditoría)</w:t>
            </w:r>
          </w:p>
        </w:tc>
      </w:tr>
      <w:tr>
        <w:trPr>
          <w:cantSplit w:val="true"/>
        </w:trPr>
        <w:tc>
          <w:tcPr>
            <w:tcW w:type="dxa" w:w="2125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</w:t>
            </w:r>
            <w:r>
              <w:rPr>
                <w:sz w:val="19"/>
              </w:rPr>
              <w:t>nformation disclosure</w:t>
            </w:r>
          </w:p>
        </w:tc>
        <w:tc>
          <w:tcPr>
            <w:tcW w:type="dxa" w:w="3525"/>
          </w:tcPr>
          <w:p>
            <w:pPr>
              <w:spacing w:after="0"/>
              <w:jc w:val="left"/>
            </w:pPr>
            <w:r>
              <w:rPr>
                <w:sz w:val="19"/>
              </w:rPr>
              <w:t>Ver bolsillos ajenos; errores con stack trace o rutas internas</w:t>
            </w:r>
          </w:p>
        </w:tc>
        <w:tc>
          <w:tcPr>
            <w:tcW w:type="dxa" w:w="2990"/>
          </w:tcPr>
          <w:p>
            <w:pPr>
              <w:spacing w:after="0"/>
              <w:jc w:val="left"/>
            </w:pPr>
            <w:r>
              <w:rPr>
                <w:sz w:val="19"/>
              </w:rPr>
              <w:t>SEC-AUTHZ, SEC-HD-04</w:t>
            </w:r>
          </w:p>
        </w:tc>
      </w:tr>
      <w:tr>
        <w:trPr>
          <w:cantSplit w:val="true"/>
        </w:trPr>
        <w:tc>
          <w:tcPr>
            <w:tcW w:type="dxa" w:w="2125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D</w:t>
            </w:r>
            <w:r>
              <w:rPr>
                <w:sz w:val="19"/>
              </w:rPr>
              <w:t>enial of service</w:t>
            </w:r>
          </w:p>
        </w:tc>
        <w:tc>
          <w:tcPr>
            <w:tcW w:type="dxa" w:w="3525"/>
          </w:tcPr>
          <w:p>
            <w:pPr>
              <w:spacing w:after="0"/>
              <w:jc w:val="left"/>
            </w:pPr>
            <w:r>
              <w:rPr>
                <w:sz w:val="19"/>
              </w:rPr>
              <w:t>Ráfagas sin límite; cuerpos gigantes o malformados</w:t>
            </w:r>
          </w:p>
        </w:tc>
        <w:tc>
          <w:tcPr>
            <w:tcW w:type="dxa" w:w="2990"/>
          </w:tcPr>
          <w:p>
            <w:pPr>
              <w:spacing w:after="0"/>
              <w:jc w:val="left"/>
            </w:pPr>
            <w:r>
              <w:rPr>
                <w:sz w:val="19"/>
              </w:rPr>
              <w:t>SEC-HD-03, SEC-HD-05</w:t>
            </w:r>
          </w:p>
        </w:tc>
      </w:tr>
      <w:tr>
        <w:trPr>
          <w:cantSplit w:val="true"/>
        </w:trPr>
        <w:tc>
          <w:tcPr>
            <w:tcW w:type="dxa" w:w="2125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</w:t>
            </w:r>
            <w:r>
              <w:rPr>
                <w:sz w:val="19"/>
              </w:rPr>
              <w:t>levation of privilege</w:t>
            </w:r>
          </w:p>
        </w:tc>
        <w:tc>
          <w:tcPr>
            <w:tcW w:type="dxa" w:w="3525"/>
          </w:tcPr>
          <w:p>
            <w:pPr>
              <w:spacing w:after="0"/>
              <w:jc w:val="left"/>
            </w:pPr>
            <w:r>
              <w:rPr>
                <w:sz w:val="19"/>
              </w:rPr>
              <w:t>Operar recursos de otro usuario; usar un token temporal como acceso</w:t>
            </w:r>
          </w:p>
        </w:tc>
        <w:tc>
          <w:tcPr>
            <w:tcW w:type="dxa" w:w="2990"/>
          </w:tcPr>
          <w:p>
            <w:pPr>
              <w:spacing w:after="0"/>
              <w:jc w:val="left"/>
            </w:pPr>
            <w:r>
              <w:rPr>
                <w:sz w:val="19"/>
              </w:rPr>
              <w:t>SEC-AUTHZ, SEC-AUTH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3.2 Correspondencia con OWASP API Security Top 10 (2023)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4"/>
        <w:gridCol w:w="3848"/>
        <w:gridCol w:w="3848"/>
      </w:tblGrid>
      <w:tr>
        <w:trPr>
          <w:cantSplit w:val="true"/>
          <w:tblHeader w:val="true"/>
        </w:trPr>
        <w:tc>
          <w:tcPr>
            <w:tcW w:type="dxa" w:w="944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OWASP</w:t>
            </w:r>
          </w:p>
        </w:tc>
        <w:tc>
          <w:tcPr>
            <w:tcW w:type="dxa" w:w="3848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Riesgo</w:t>
            </w:r>
          </w:p>
        </w:tc>
        <w:tc>
          <w:tcPr>
            <w:tcW w:type="dxa" w:w="3848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Cubierto por</w:t>
            </w:r>
          </w:p>
        </w:tc>
      </w:tr>
      <w:tr>
        <w:trPr>
          <w:cantSplit w:val="true"/>
        </w:trPr>
        <w:tc>
          <w:tcPr>
            <w:tcW w:type="dxa" w:w="944"/>
          </w:tcPr>
          <w:p>
            <w:pPr>
              <w:spacing w:after="0"/>
              <w:jc w:val="left"/>
            </w:pPr>
            <w:r>
              <w:rPr>
                <w:sz w:val="19"/>
              </w:rPr>
              <w:t>API1</w:t>
            </w:r>
          </w:p>
        </w:tc>
        <w:tc>
          <w:tcPr>
            <w:tcW w:type="dxa" w:w="3848"/>
          </w:tcPr>
          <w:p>
            <w:pPr>
              <w:spacing w:after="0"/>
              <w:jc w:val="left"/>
            </w:pPr>
            <w:r>
              <w:rPr>
                <w:sz w:val="19"/>
              </w:rPr>
              <w:t>Broken Object Level Authorization (BOLA / IDOR)</w:t>
            </w:r>
          </w:p>
        </w:tc>
        <w:tc>
          <w:tcPr>
            <w:tcW w:type="dxa" w:w="3848"/>
          </w:tcPr>
          <w:p>
            <w:pPr>
              <w:spacing w:after="0"/>
              <w:jc w:val="left"/>
            </w:pPr>
            <w:r>
              <w:rPr>
                <w:sz w:val="19"/>
              </w:rPr>
              <w:t>SEC-AUTHZ (IDOR en las 6 operaciones)</w:t>
            </w:r>
          </w:p>
        </w:tc>
      </w:tr>
      <w:tr>
        <w:trPr>
          <w:cantSplit w:val="true"/>
        </w:trPr>
        <w:tc>
          <w:tcPr>
            <w:tcW w:type="dxa" w:w="944"/>
          </w:tcPr>
          <w:p>
            <w:pPr>
              <w:spacing w:after="0"/>
              <w:jc w:val="left"/>
            </w:pPr>
            <w:r>
              <w:rPr>
                <w:sz w:val="19"/>
              </w:rPr>
              <w:t>API2</w:t>
            </w:r>
          </w:p>
        </w:tc>
        <w:tc>
          <w:tcPr>
            <w:tcW w:type="dxa" w:w="3848"/>
          </w:tcPr>
          <w:p>
            <w:pPr>
              <w:spacing w:after="0"/>
              <w:jc w:val="left"/>
            </w:pPr>
            <w:r>
              <w:rPr>
                <w:sz w:val="19"/>
              </w:rPr>
              <w:t>Broken Authentication</w:t>
            </w:r>
          </w:p>
        </w:tc>
        <w:tc>
          <w:tcPr>
            <w:tcW w:type="dxa" w:w="3848"/>
          </w:tcPr>
          <w:p>
            <w:pPr>
              <w:spacing w:after="0"/>
              <w:jc w:val="left"/>
            </w:pPr>
            <w:r>
              <w:rPr>
                <w:sz w:val="19"/>
              </w:rPr>
              <w:t>SEC-AUTH (8 variantes × 6 operaciones + tokens de propósito único)</w:t>
            </w:r>
          </w:p>
        </w:tc>
      </w:tr>
      <w:tr>
        <w:trPr>
          <w:cantSplit w:val="true"/>
        </w:trPr>
        <w:tc>
          <w:tcPr>
            <w:tcW w:type="dxa" w:w="944"/>
          </w:tcPr>
          <w:p>
            <w:pPr>
              <w:spacing w:after="0"/>
              <w:jc w:val="left"/>
            </w:pPr>
            <w:r>
              <w:rPr>
                <w:sz w:val="19"/>
              </w:rPr>
              <w:t>API3</w:t>
            </w:r>
          </w:p>
        </w:tc>
        <w:tc>
          <w:tcPr>
            <w:tcW w:type="dxa" w:w="3848"/>
          </w:tcPr>
          <w:p>
            <w:pPr>
              <w:spacing w:after="0"/>
              <w:jc w:val="left"/>
            </w:pPr>
            <w:r>
              <w:rPr>
                <w:sz w:val="19"/>
              </w:rPr>
              <w:t>Broken Object Property Level Authorization (mass assignment)</w:t>
            </w:r>
          </w:p>
        </w:tc>
        <w:tc>
          <w:tcPr>
            <w:tcW w:type="dxa" w:w="3848"/>
          </w:tcPr>
          <w:p>
            <w:pPr>
              <w:spacing w:after="0"/>
              <w:jc w:val="left"/>
            </w:pPr>
            <w:r>
              <w:rPr>
                <w:sz w:val="19"/>
              </w:rPr>
              <w:t>SEC-AUTHZ (campos colados en el body)</w:t>
            </w:r>
          </w:p>
        </w:tc>
      </w:tr>
      <w:tr>
        <w:trPr>
          <w:cantSplit w:val="true"/>
        </w:trPr>
        <w:tc>
          <w:tcPr>
            <w:tcW w:type="dxa" w:w="944"/>
          </w:tcPr>
          <w:p>
            <w:pPr>
              <w:spacing w:after="0"/>
              <w:jc w:val="left"/>
            </w:pPr>
            <w:r>
              <w:rPr>
                <w:sz w:val="19"/>
              </w:rPr>
              <w:t>API4</w:t>
            </w:r>
          </w:p>
        </w:tc>
        <w:tc>
          <w:tcPr>
            <w:tcW w:type="dxa" w:w="3848"/>
          </w:tcPr>
          <w:p>
            <w:pPr>
              <w:spacing w:after="0"/>
              <w:jc w:val="left"/>
            </w:pPr>
            <w:r>
              <w:rPr>
                <w:sz w:val="19"/>
              </w:rPr>
              <w:t>Unrestricted Resource Consumption</w:t>
            </w:r>
          </w:p>
        </w:tc>
        <w:tc>
          <w:tcPr>
            <w:tcW w:type="dxa" w:w="3848"/>
          </w:tcPr>
          <w:p>
            <w:pPr>
              <w:spacing w:after="0"/>
              <w:jc w:val="left"/>
            </w:pPr>
            <w:r>
              <w:rPr>
                <w:sz w:val="19"/>
              </w:rPr>
              <w:t>SEC-HD-03 (body), SEC-HD-05 (rate limiting)</w:t>
            </w:r>
          </w:p>
        </w:tc>
      </w:tr>
      <w:tr>
        <w:trPr>
          <w:cantSplit w:val="true"/>
        </w:trPr>
        <w:tc>
          <w:tcPr>
            <w:tcW w:type="dxa" w:w="944"/>
          </w:tcPr>
          <w:p>
            <w:pPr>
              <w:spacing w:after="0"/>
              <w:jc w:val="left"/>
            </w:pPr>
            <w:r>
              <w:rPr>
                <w:sz w:val="19"/>
              </w:rPr>
              <w:t>API6</w:t>
            </w:r>
          </w:p>
        </w:tc>
        <w:tc>
          <w:tcPr>
            <w:tcW w:type="dxa" w:w="3848"/>
          </w:tcPr>
          <w:p>
            <w:pPr>
              <w:spacing w:after="0"/>
              <w:jc w:val="left"/>
            </w:pPr>
            <w:r>
              <w:rPr>
                <w:sz w:val="19"/>
              </w:rPr>
              <w:t>Unrestricted Access to Sensitive Business Flows</w:t>
            </w:r>
          </w:p>
        </w:tc>
        <w:tc>
          <w:tcPr>
            <w:tcW w:type="dxa" w:w="3848"/>
          </w:tcPr>
          <w:p>
            <w:pPr>
              <w:spacing w:after="0"/>
              <w:jc w:val="left"/>
            </w:pPr>
            <w:r>
              <w:rPr>
                <w:sz w:val="19"/>
              </w:rPr>
              <w:t>SEC-AUTHZ (mover dinero entre cuentas)</w:t>
            </w:r>
          </w:p>
        </w:tc>
      </w:tr>
      <w:tr>
        <w:trPr>
          <w:cantSplit w:val="true"/>
        </w:trPr>
        <w:tc>
          <w:tcPr>
            <w:tcW w:type="dxa" w:w="944"/>
          </w:tcPr>
          <w:p>
            <w:pPr>
              <w:spacing w:after="0"/>
              <w:jc w:val="left"/>
            </w:pPr>
            <w:r>
              <w:rPr>
                <w:sz w:val="19"/>
              </w:rPr>
              <w:t>API8</w:t>
            </w:r>
          </w:p>
        </w:tc>
        <w:tc>
          <w:tcPr>
            <w:tcW w:type="dxa" w:w="3848"/>
          </w:tcPr>
          <w:p>
            <w:pPr>
              <w:spacing w:after="0"/>
              <w:jc w:val="left"/>
            </w:pPr>
            <w:r>
              <w:rPr>
                <w:sz w:val="19"/>
              </w:rPr>
              <w:t>Security Misconfiguration</w:t>
            </w:r>
          </w:p>
        </w:tc>
        <w:tc>
          <w:tcPr>
            <w:tcW w:type="dxa" w:w="3848"/>
          </w:tcPr>
          <w:p>
            <w:pPr>
              <w:spacing w:after="0"/>
              <w:jc w:val="left"/>
            </w:pPr>
            <w:r>
              <w:rPr>
                <w:sz w:val="19"/>
              </w:rPr>
              <w:t>SEC-HD-01/02/04 (helmet, CORS, errores)</w:t>
            </w:r>
          </w:p>
        </w:tc>
      </w:tr>
      <w:tr>
        <w:trPr>
          <w:cantSplit w:val="true"/>
        </w:trPr>
        <w:tc>
          <w:tcPr>
            <w:tcW w:type="dxa" w:w="944"/>
          </w:tcPr>
          <w:p>
            <w:pPr>
              <w:spacing w:after="0"/>
              <w:jc w:val="left"/>
            </w:pPr>
            <w:r>
              <w:rPr>
                <w:sz w:val="19"/>
              </w:rPr>
              <w:t>API10</w:t>
            </w:r>
          </w:p>
        </w:tc>
        <w:tc>
          <w:tcPr>
            <w:tcW w:type="dxa" w:w="3848"/>
          </w:tcPr>
          <w:p>
            <w:pPr>
              <w:spacing w:after="0"/>
              <w:jc w:val="left"/>
            </w:pPr>
            <w:r>
              <w:rPr>
                <w:sz w:val="19"/>
              </w:rPr>
              <w:t>Unsafe Consumption / inyección</w:t>
            </w:r>
          </w:p>
        </w:tc>
        <w:tc>
          <w:tcPr>
            <w:tcW w:type="dxa" w:w="3848"/>
          </w:tcPr>
          <w:p>
            <w:pPr>
              <w:spacing w:after="0"/>
              <w:jc w:val="left"/>
            </w:pPr>
            <w:r>
              <w:rPr>
                <w:sz w:val="19"/>
              </w:rPr>
              <w:t>SEC-IN-03/04/05, SEC-OUT-01</w:t>
            </w:r>
          </w:p>
        </w:tc>
      </w:tr>
    </w:tbl>
    <w:p>
      <w:pPr>
        <w:spacing w:after="40"/>
      </w:pP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4. Metodología</w:t>
      </w:r>
    </w:p>
    <w:p>
      <w:pPr>
        <w:pStyle w:val="Heading2"/>
      </w:pPr>
      <w:r>
        <w:rPr/>
        <w:t>4.1 Modelo del curso</w:t>
      </w:r>
    </w:p>
    <w:p>
      <w:r>
        <w:rPr/>
        <w:t xml:space="preserve">Se siguió el ejemplo </w:t>
      </w:r>
      <w:r>
        <w:rPr>
          <w:rFonts w:ascii="Consolas" w:hAnsi="Consolas"/>
          <w:b w:val="0"/>
          <w:color w:val="8B1E3F"/>
          <w:sz w:val="19"/>
        </w:rPr>
        <w:t>security-testing</w:t>
      </w:r>
      <w:r>
        <w:rPr/>
        <w:t xml:space="preserve"> del curso: </w:t>
      </w:r>
      <w:r>
        <w:rPr>
          <w:b/>
        </w:rPr>
        <w:t>cada regla de seguridad se convierte en una prueba de regresión</w:t>
      </w:r>
      <w:r>
        <w:rPr/>
        <w:t>, con tablas negativas parametrizadas e identificadores legibles. En el ejemplo, la política de contraseñas (</w:t>
      </w:r>
      <w:r>
        <w:rPr>
          <w:rFonts w:ascii="Consolas" w:hAnsi="Consolas"/>
          <w:b w:val="0"/>
          <w:color w:val="8B1E3F"/>
          <w:sz w:val="19"/>
        </w:rPr>
        <w:t>validar_password_segura</w:t>
      </w:r>
      <w:r>
        <w:rPr/>
        <w:t>) y el escape de HTML (</w:t>
      </w:r>
      <w:r>
        <w:rPr>
          <w:rFonts w:ascii="Consolas" w:hAnsi="Consolas"/>
          <w:b w:val="0"/>
          <w:color w:val="8B1E3F"/>
          <w:sz w:val="19"/>
        </w:rPr>
        <w:t>sanitizar_entrada</w:t>
      </w:r>
      <w:r>
        <w:rPr/>
        <w:t xml:space="preserve">) se prueban con </w:t>
      </w:r>
      <w:r>
        <w:rPr>
          <w:rFonts w:ascii="Consolas" w:hAnsi="Consolas"/>
          <w:b w:val="0"/>
          <w:color w:val="8B1E3F"/>
          <w:sz w:val="19"/>
        </w:rPr>
        <w:t>pytest.mark.parametrize</w:t>
      </w:r>
      <w:r>
        <w:rPr/>
        <w:t xml:space="preserve">. Aquí se aplica lo mismo en </w:t>
      </w:r>
      <w:r>
        <w:rPr>
          <w:b/>
        </w:rPr>
        <w:t>Vitest</w:t>
      </w:r>
      <w:r>
        <w:rPr/>
        <w:t xml:space="preserve"> (estándar del equipo) con </w:t>
      </w:r>
      <w:r>
        <w:rPr>
          <w:rFonts w:ascii="Consolas" w:hAnsi="Consolas"/>
          <w:b w:val="0"/>
          <w:color w:val="8B1E3F"/>
          <w:sz w:val="19"/>
        </w:rPr>
        <w:t>it.each</w:t>
      </w:r>
      <w:r>
        <w:rPr/>
        <w:t xml:space="preserve"> / </w:t>
      </w:r>
      <w:r>
        <w:rPr>
          <w:rFonts w:ascii="Consolas" w:hAnsi="Consolas"/>
          <w:b w:val="0"/>
          <w:color w:val="8B1E3F"/>
          <w:sz w:val="19"/>
        </w:rPr>
        <w:t>describe.each</w:t>
      </w:r>
      <w:r>
        <w:rPr/>
        <w:t>, sobre las seis funcionalidades: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40"/>
        <w:gridCol w:w="4500"/>
      </w:tblGrid>
      <w:tr>
        <w:trPr>
          <w:cantSplit w:val="true"/>
          <w:tblHeader w:val="true"/>
        </w:trPr>
        <w:tc>
          <w:tcPr>
            <w:tcW w:type="dxa" w:w="414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Ejemplo del curso</w:t>
            </w:r>
          </w:p>
        </w:tc>
        <w:tc>
          <w:tcPr>
            <w:tcW w:type="dxa" w:w="45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Equivalente en FuBanking</w:t>
            </w:r>
          </w:p>
        </w:tc>
      </w:tr>
      <w:tr>
        <w:trPr>
          <w:cantSplit w:val="true"/>
        </w:trPr>
        <w:tc>
          <w:tcPr>
            <w:tcW w:type="dxa" w:w="414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validar_password_segura</w:t>
            </w:r>
            <w:r>
              <w:rPr>
                <w:sz w:val="19"/>
              </w:rPr>
              <w:t xml:space="preserve"> (política de entrada)</w:t>
            </w:r>
          </w:p>
        </w:tc>
        <w:tc>
          <w:tcPr>
            <w:tcW w:type="dxa" w:w="4500"/>
          </w:tcPr>
          <w:p>
            <w:pPr>
              <w:spacing w:after="0"/>
              <w:jc w:val="left"/>
            </w:pPr>
            <w:r>
              <w:rPr>
                <w:sz w:val="19"/>
              </w:rPr>
              <w:t>SEC-IN-01: política de montos (tabla de 4 válidos y 12 inválidos)</w:t>
            </w:r>
          </w:p>
        </w:tc>
      </w:tr>
      <w:tr>
        <w:trPr>
          <w:cantSplit w:val="true"/>
        </w:trPr>
        <w:tc>
          <w:tcPr>
            <w:tcW w:type="dxa" w:w="414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sanitizar_entrada</w:t>
            </w:r>
            <w:r>
              <w:rPr>
                <w:sz w:val="19"/>
              </w:rPr>
              <w:t xml:space="preserve"> (escape de HTML)</w:t>
            </w:r>
          </w:p>
        </w:tc>
        <w:tc>
          <w:tcPr>
            <w:tcW w:type="dxa" w:w="4500"/>
          </w:tcPr>
          <w:p>
            <w:pPr>
              <w:spacing w:after="0"/>
              <w:jc w:val="left"/>
            </w:pPr>
            <w:r>
              <w:rPr>
                <w:sz w:val="19"/>
              </w:rPr>
              <w:t>SEC-IN-04 (la API guarda literal) + SEC-OUT-01 (React pinta como texto)</w:t>
            </w:r>
          </w:p>
        </w:tc>
      </w:tr>
      <w:tr>
        <w:trPr>
          <w:cantSplit w:val="true"/>
        </w:trPr>
        <w:tc>
          <w:tcPr>
            <w:tcW w:type="dxa" w:w="414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Tablas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parametrize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ids</w:t>
            </w:r>
          </w:p>
        </w:tc>
        <w:tc>
          <w:tcPr>
            <w:tcW w:type="dxa" w:w="450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it.each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describe.each</w:t>
            </w:r>
            <w:r>
              <w:rPr>
                <w:sz w:val="19"/>
              </w:rPr>
              <w:t xml:space="preserve"> con descripción por caso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4.2 Niveles de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1"/>
        <w:gridCol w:w="3279"/>
        <w:gridCol w:w="2940"/>
      </w:tblGrid>
      <w:tr>
        <w:trPr>
          <w:cantSplit w:val="true"/>
          <w:tblHeader w:val="true"/>
        </w:trPr>
        <w:tc>
          <w:tcPr>
            <w:tcW w:type="dxa" w:w="2421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Nivel</w:t>
            </w:r>
          </w:p>
        </w:tc>
        <w:tc>
          <w:tcPr>
            <w:tcW w:type="dxa" w:w="327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Qué ejecuta</w:t>
            </w:r>
          </w:p>
        </w:tc>
        <w:tc>
          <w:tcPr>
            <w:tcW w:type="dxa" w:w="294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Para qué</w:t>
            </w:r>
          </w:p>
        </w:tc>
      </w:tr>
      <w:tr>
        <w:trPr>
          <w:cantSplit w:val="true"/>
        </w:trPr>
        <w:tc>
          <w:tcPr>
            <w:tcW w:type="dxa" w:w="2421"/>
          </w:tcPr>
          <w:p>
            <w:pPr>
              <w:spacing w:after="0"/>
              <w:jc w:val="left"/>
            </w:pPr>
            <w:r>
              <w:rPr>
                <w:sz w:val="19"/>
              </w:rPr>
              <w:t>API sobre app en memoria</w:t>
            </w:r>
          </w:p>
        </w:tc>
        <w:tc>
          <w:tcPr>
            <w:tcW w:type="dxa" w:w="327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authMiddleware</w:t>
            </w:r>
            <w:r>
              <w:rPr>
                <w:sz w:val="19"/>
              </w:rPr>
              <w:t xml:space="preserve">, validadores, controladores y casos de uso </w:t>
            </w:r>
            <w:r>
              <w:rPr>
                <w:b/>
                <w:sz w:val="19"/>
              </w:rPr>
              <w:t>reales</w:t>
            </w:r>
            <w:r>
              <w:rPr>
                <w:sz w:val="19"/>
              </w:rPr>
              <w:t>; persistencia en memoria</w:t>
            </w:r>
          </w:p>
        </w:tc>
        <w:tc>
          <w:tcPr>
            <w:tcW w:type="dxa" w:w="2940"/>
          </w:tcPr>
          <w:p>
            <w:pPr>
              <w:spacing w:after="0"/>
              <w:jc w:val="left"/>
            </w:pPr>
            <w:r>
              <w:rPr>
                <w:sz w:val="19"/>
              </w:rPr>
              <w:t>Autenticación, autorización, entrada, rate limiting</w:t>
            </w:r>
          </w:p>
        </w:tc>
      </w:tr>
      <w:tr>
        <w:trPr>
          <w:cantSplit w:val="true"/>
        </w:trPr>
        <w:tc>
          <w:tcPr>
            <w:tcW w:type="dxa" w:w="2421"/>
          </w:tcPr>
          <w:p>
            <w:pPr>
              <w:spacing w:after="0"/>
              <w:jc w:val="left"/>
            </w:pPr>
            <w:r>
              <w:rPr>
                <w:sz w:val="19"/>
              </w:rPr>
              <w:t>App real de producción (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createApp()</w:t>
            </w:r>
            <w:r>
              <w:rPr>
                <w:sz w:val="19"/>
              </w:rPr>
              <w:t>)</w:t>
            </w:r>
          </w:p>
        </w:tc>
        <w:tc>
          <w:tcPr>
            <w:tcW w:type="dxa" w:w="327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helmet, CORS,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express.json({ limit: '10kb' })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errorHandler</w:t>
            </w:r>
          </w:p>
        </w:tc>
        <w:tc>
          <w:tcPr>
            <w:tcW w:type="dxa" w:w="2940"/>
          </w:tcPr>
          <w:p>
            <w:pPr>
              <w:spacing w:after="0"/>
              <w:jc w:val="left"/>
            </w:pPr>
            <w:r>
              <w:rPr>
                <w:sz w:val="19"/>
              </w:rPr>
              <w:t>Endurecimiento (sin llegar a Supabase)</w:t>
            </w:r>
          </w:p>
        </w:tc>
      </w:tr>
      <w:tr>
        <w:trPr>
          <w:cantSplit w:val="true"/>
        </w:trPr>
        <w:tc>
          <w:tcPr>
            <w:tcW w:type="dxa" w:w="2421"/>
          </w:tcPr>
          <w:p>
            <w:pPr>
              <w:spacing w:after="0"/>
              <w:jc w:val="left"/>
            </w:pPr>
            <w:r>
              <w:rPr>
                <w:sz w:val="19"/>
              </w:rPr>
              <w:t>Componente React (jsdom)</w:t>
            </w:r>
          </w:p>
        </w:tc>
        <w:tc>
          <w:tcPr>
            <w:tcW w:type="dxa" w:w="327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PocketsClient</w:t>
            </w:r>
            <w:r>
              <w:rPr>
                <w:sz w:val="19"/>
              </w:rPr>
              <w:t xml:space="preserve"> con el servicio simulado</w:t>
            </w:r>
          </w:p>
        </w:tc>
        <w:tc>
          <w:tcPr>
            <w:tcW w:type="dxa" w:w="2940"/>
          </w:tcPr>
          <w:p>
            <w:pPr>
              <w:spacing w:after="0"/>
              <w:jc w:val="left"/>
            </w:pPr>
            <w:r>
              <w:rPr>
                <w:sz w:val="19"/>
              </w:rPr>
              <w:t>Neutralización de salida (XSS)</w:t>
            </w:r>
          </w:p>
        </w:tc>
      </w:tr>
    </w:tbl>
    <w:p>
      <w:pPr>
        <w:spacing w:after="40"/>
      </w:pPr>
    </w:p>
    <w:p>
      <w:r>
        <w:rPr/>
        <w:t xml:space="preserve">Los tokens temporales de 2FA y de recuperación </w:t>
      </w:r>
      <w:r>
        <w:rPr>
          <w:b/>
        </w:rPr>
        <w:t>no se fabricaron a mano</w:t>
      </w:r>
      <w:r>
        <w:rPr/>
        <w:t>: los emite el código real (</w:t>
      </w:r>
      <w:r>
        <w:rPr>
          <w:rFonts w:ascii="Consolas" w:hAnsi="Consolas"/>
          <w:b w:val="0"/>
          <w:color w:val="8B1E3F"/>
          <w:sz w:val="19"/>
        </w:rPr>
        <w:t>GenerateTwoFactorCode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RequestPasswordReset</w:t>
      </w:r>
      <w:r>
        <w:rPr/>
        <w:t>). Así la prueba reproduce lo que un atacante obtendría del sistema.</w:t>
      </w:r>
    </w:p>
    <w:p>
      <w:pPr>
        <w:pStyle w:val="Heading2"/>
      </w:pPr>
      <w:r>
        <w:rPr/>
        <w:t>4.3 Ciclo documentar → refactorizar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b/>
        </w:rPr>
        <w:t>Documentar.</w:t>
      </w:r>
      <w:r>
        <w:rPr/>
        <w:t xml:space="preserve"> Cada prueba afirma el comportamiento seguro. Si falla por una vulnerabilidad real, se marca </w:t>
      </w:r>
      <w:r>
        <w:rPr>
          <w:rFonts w:ascii="Consolas" w:hAnsi="Consolas"/>
          <w:b w:val="0"/>
          <w:color w:val="8B1E3F"/>
          <w:sz w:val="19"/>
        </w:rPr>
        <w:t>it.fails</w:t>
      </w:r>
      <w:r>
        <w:rPr/>
        <w:t xml:space="preserve"> con el ID del hallazgo: la suite queda verde y el hallazgo visible.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b/>
        </w:rPr>
        <w:t>Verificar el motivo.</w:t>
      </w:r>
      <w:r>
        <w:rPr/>
        <w:t xml:space="preserve"> Cada </w:t>
      </w:r>
      <w:r>
        <w:rPr>
          <w:rFonts w:ascii="Consolas" w:hAnsi="Consolas"/>
          <w:b w:val="0"/>
          <w:color w:val="8B1E3F"/>
          <w:sz w:val="19"/>
        </w:rPr>
        <w:t>it.fails</w:t>
      </w:r>
      <w:r>
        <w:rPr/>
        <w:t xml:space="preserve"> se ejecutó como prueba normal para confirmar que falla </w:t>
      </w:r>
      <w:r>
        <w:rPr>
          <w:b/>
        </w:rPr>
        <w:t>justo en la aserción de seguridad</w:t>
      </w:r>
      <w:r>
        <w:rPr/>
        <w:t xml:space="preserve"> y no por un error del propio test (</w:t>
      </w:r>
      <w:r>
        <w:rPr>
          <w:rFonts w:ascii="Consolas" w:hAnsi="Consolas"/>
          <w:b w:val="0"/>
          <w:color w:val="8B1E3F"/>
          <w:sz w:val="19"/>
        </w:rPr>
        <w:t>02-motivo-de-cada-hallazgo.txt</w:t>
      </w:r>
      <w:r>
        <w:rPr/>
        <w:t>).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b/>
        </w:rPr>
        <w:t>Verificar los controles.</w:t>
      </w:r>
      <w:r>
        <w:rPr/>
        <w:t xml:space="preserve"> Las pruebas que pasan se sometieron a mutaciones: se eliminó a propósito el control y la prueba debía fallar (</w:t>
      </w:r>
      <w:r>
        <w:rPr>
          <w:rFonts w:ascii="Consolas" w:hAnsi="Consolas"/>
          <w:b w:val="0"/>
          <w:color w:val="8B1E3F"/>
          <w:sz w:val="19"/>
        </w:rPr>
        <w:t>03-sensibilidad-de-los-controles.txt</w:t>
      </w:r>
      <w:r>
        <w:rPr/>
        <w:t>).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b/>
        </w:rPr>
        <w:t>Refactorizar.</w:t>
      </w:r>
      <w:r>
        <w:rPr/>
        <w:t xml:space="preserve"> Tras corregir, Vitest reporta como fallo cada </w:t>
      </w:r>
      <w:r>
        <w:rPr>
          <w:rFonts w:ascii="Consolas" w:hAnsi="Consolas"/>
          <w:b w:val="0"/>
          <w:color w:val="8B1E3F"/>
          <w:sz w:val="19"/>
        </w:rPr>
        <w:t>it.fails</w:t>
      </w:r>
      <w:r>
        <w:rPr/>
        <w:t xml:space="preserve"> que ahora pasa: es la evidencia de que la vulnerabilidad se cerró (</w:t>
      </w:r>
      <w:r>
        <w:rPr>
          <w:rFonts w:ascii="Consolas" w:hAnsi="Consolas"/>
          <w:b w:val="0"/>
          <w:color w:val="8B1E3F"/>
          <w:sz w:val="19"/>
        </w:rPr>
        <w:t>04-refactor-cierra-los-hallazgos.txt</w:t>
      </w:r>
      <w:r>
        <w:rPr/>
        <w:t>). Esas pruebas pasan a ser normales y quedan como regresión permanente.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5. Reglas y casos de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1"/>
        <w:gridCol w:w="2709"/>
        <w:gridCol w:w="3692"/>
        <w:gridCol w:w="858"/>
      </w:tblGrid>
      <w:tr>
        <w:trPr>
          <w:cantSplit w:val="true"/>
          <w:tblHeader w:val="true"/>
        </w:trPr>
        <w:tc>
          <w:tcPr>
            <w:tcW w:type="dxa" w:w="1381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Regla</w:t>
            </w:r>
          </w:p>
        </w:tc>
        <w:tc>
          <w:tcPr>
            <w:tcW w:type="dxa" w:w="270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3692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Archivo</w:t>
            </w:r>
          </w:p>
        </w:tc>
        <w:tc>
          <w:tcPr>
            <w:tcW w:type="dxa" w:w="858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Casos</w:t>
            </w:r>
          </w:p>
        </w:tc>
      </w:tr>
      <w:tr>
        <w:trPr>
          <w:cantSplit w:val="true"/>
        </w:trPr>
        <w:tc>
          <w:tcPr>
            <w:tcW w:type="dxa" w:w="1381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SEC-AUTH</w:t>
            </w:r>
          </w:p>
        </w:tc>
        <w:tc>
          <w:tcPr>
            <w:tcW w:type="dxa" w:w="270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Solo un token de </w:t>
            </w:r>
            <w:r>
              <w:rPr>
                <w:b/>
                <w:sz w:val="19"/>
              </w:rPr>
              <w:t>acceso</w:t>
            </w:r>
            <w:r>
              <w:rPr>
                <w:sz w:val="19"/>
              </w:rPr>
              <w:t xml:space="preserve"> válido permite operar</w:t>
            </w:r>
          </w:p>
        </w:tc>
        <w:tc>
          <w:tcPr>
            <w:tcW w:type="dxa" w:w="369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autenticacion.security.test.ts</w:t>
            </w:r>
          </w:p>
        </w:tc>
        <w:tc>
          <w:tcPr>
            <w:tcW w:type="dxa" w:w="858"/>
          </w:tcPr>
          <w:p>
            <w:pPr>
              <w:spacing w:after="0"/>
              <w:jc w:val="center"/>
            </w:pPr>
            <w:r>
              <w:rPr>
                <w:sz w:val="19"/>
              </w:rPr>
              <w:t>69</w:t>
            </w:r>
          </w:p>
        </w:tc>
      </w:tr>
      <w:tr>
        <w:trPr>
          <w:cantSplit w:val="true"/>
        </w:trPr>
        <w:tc>
          <w:tcPr>
            <w:tcW w:type="dxa" w:w="1381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SEC-AUTHZ</w:t>
            </w:r>
          </w:p>
        </w:tc>
        <w:tc>
          <w:tcPr>
            <w:tcW w:type="dxa" w:w="2709"/>
          </w:tcPr>
          <w:p>
            <w:pPr>
              <w:spacing w:after="0"/>
              <w:jc w:val="left"/>
            </w:pPr>
            <w:r>
              <w:rPr>
                <w:sz w:val="19"/>
              </w:rPr>
              <w:t>Un usuario solo opera sobre sus recursos; la identidad sale del token</w:t>
            </w:r>
          </w:p>
        </w:tc>
        <w:tc>
          <w:tcPr>
            <w:tcW w:type="dxa" w:w="369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autorizacion.security.test.ts</w:t>
            </w:r>
          </w:p>
        </w:tc>
        <w:tc>
          <w:tcPr>
            <w:tcW w:type="dxa" w:w="858"/>
          </w:tcPr>
          <w:p>
            <w:pPr>
              <w:spacing w:after="0"/>
              <w:jc w:val="center"/>
            </w:pPr>
            <w:r>
              <w:rPr>
                <w:sz w:val="19"/>
              </w:rPr>
              <w:t>15</w:t>
            </w:r>
          </w:p>
        </w:tc>
      </w:tr>
      <w:tr>
        <w:trPr>
          <w:cantSplit w:val="true"/>
        </w:trPr>
        <w:tc>
          <w:tcPr>
            <w:tcW w:type="dxa" w:w="1381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SEC-IN-01</w:t>
            </w:r>
          </w:p>
        </w:tc>
        <w:tc>
          <w:tcPr>
            <w:tcW w:type="dxa" w:w="2709"/>
          </w:tcPr>
          <w:p>
            <w:pPr>
              <w:spacing w:after="0"/>
              <w:jc w:val="left"/>
            </w:pPr>
            <w:r>
              <w:rPr>
                <w:sz w:val="19"/>
              </w:rPr>
              <w:t>Montos estrictos: número JSON o texto decimal, sin conversión forzada</w:t>
            </w:r>
          </w:p>
        </w:tc>
        <w:tc>
          <w:tcPr>
            <w:tcW w:type="dxa" w:w="369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entrada.security.test.ts</w:t>
            </w:r>
          </w:p>
        </w:tc>
        <w:tc>
          <w:tcPr>
            <w:tcW w:type="dxa" w:w="858"/>
          </w:tcPr>
          <w:p>
            <w:pPr>
              <w:spacing w:after="0"/>
              <w:jc w:val="center"/>
            </w:pPr>
            <w:r>
              <w:rPr>
                <w:sz w:val="19"/>
              </w:rPr>
              <w:t>32</w:t>
            </w:r>
          </w:p>
        </w:tc>
      </w:tr>
      <w:tr>
        <w:trPr>
          <w:cantSplit w:val="true"/>
        </w:trPr>
        <w:tc>
          <w:tcPr>
            <w:tcW w:type="dxa" w:w="1381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SEC-IN-02</w:t>
            </w:r>
          </w:p>
        </w:tc>
        <w:tc>
          <w:tcPr>
            <w:tcW w:type="dxa" w:w="2709"/>
          </w:tcPr>
          <w:p>
            <w:pPr>
              <w:spacing w:after="0"/>
              <w:jc w:val="left"/>
            </w:pPr>
            <w:r>
              <w:rPr>
                <w:sz w:val="19"/>
              </w:rPr>
              <w:t>Montos dentro del rango entero seguro</w:t>
            </w:r>
          </w:p>
        </w:tc>
        <w:tc>
          <w:tcPr>
            <w:tcW w:type="dxa" w:w="369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entrada.security.test.ts</w:t>
            </w:r>
          </w:p>
        </w:tc>
        <w:tc>
          <w:tcPr>
            <w:tcW w:type="dxa" w:w="858"/>
          </w:tcPr>
          <w:p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</w:tr>
      <w:tr>
        <w:trPr>
          <w:cantSplit w:val="true"/>
        </w:trPr>
        <w:tc>
          <w:tcPr>
            <w:tcW w:type="dxa" w:w="1381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SEC-IN-03</w:t>
            </w:r>
          </w:p>
        </w:tc>
        <w:tc>
          <w:tcPr>
            <w:tcW w:type="dxa" w:w="2709"/>
          </w:tcPr>
          <w:p>
            <w:pPr>
              <w:spacing w:after="0"/>
              <w:jc w:val="left"/>
            </w:pPr>
            <w:r>
              <w:rPr>
                <w:sz w:val="19"/>
              </w:rPr>
              <w:t>Identificadores maliciosos en la URL no rompen nada ni tocan datos</w:t>
            </w:r>
          </w:p>
        </w:tc>
        <w:tc>
          <w:tcPr>
            <w:tcW w:type="dxa" w:w="369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entrada.security.test.ts</w:t>
            </w:r>
          </w:p>
        </w:tc>
        <w:tc>
          <w:tcPr>
            <w:tcW w:type="dxa" w:w="858"/>
          </w:tcPr>
          <w:p>
            <w:pPr>
              <w:spacing w:after="0"/>
              <w:jc w:val="center"/>
            </w:pPr>
            <w:r>
              <w:rPr>
                <w:sz w:val="19"/>
              </w:rPr>
              <w:t>11</w:t>
            </w:r>
          </w:p>
        </w:tc>
      </w:tr>
      <w:tr>
        <w:trPr>
          <w:cantSplit w:val="true"/>
        </w:trPr>
        <w:tc>
          <w:tcPr>
            <w:tcW w:type="dxa" w:w="1381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SEC-IN-04</w:t>
            </w:r>
          </w:p>
        </w:tc>
        <w:tc>
          <w:tcPr>
            <w:tcW w:type="dxa" w:w="2709"/>
          </w:tcPr>
          <w:p>
            <w:pPr>
              <w:spacing w:after="0"/>
              <w:jc w:val="left"/>
            </w:pPr>
            <w:r>
              <w:rPr>
                <w:sz w:val="19"/>
              </w:rPr>
              <w:t>HTML, SQL, NoSQL o plantillas en el nombre se tratan como dato literal</w:t>
            </w:r>
          </w:p>
        </w:tc>
        <w:tc>
          <w:tcPr>
            <w:tcW w:type="dxa" w:w="369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entrada.security.test.ts</w:t>
            </w:r>
          </w:p>
        </w:tc>
        <w:tc>
          <w:tcPr>
            <w:tcW w:type="dxa" w:w="858"/>
          </w:tcPr>
          <w:p>
            <w:pPr>
              <w:spacing w:after="0"/>
              <w:jc w:val="center"/>
            </w:pPr>
            <w:r>
              <w:rPr>
                <w:sz w:val="19"/>
              </w:rPr>
              <w:t>7</w:t>
            </w:r>
          </w:p>
        </w:tc>
      </w:tr>
      <w:tr>
        <w:trPr>
          <w:cantSplit w:val="true"/>
        </w:trPr>
        <w:tc>
          <w:tcPr>
            <w:tcW w:type="dxa" w:w="1381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SEC-IN-05</w:t>
            </w:r>
          </w:p>
        </w:tc>
        <w:tc>
          <w:tcPr>
            <w:tcW w:type="dxa" w:w="270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__proto__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constructor</w:t>
            </w:r>
            <w:r>
              <w:rPr>
                <w:sz w:val="19"/>
              </w:rPr>
              <w:t xml:space="preserve"> no contaminan objetos del servidor</w:t>
            </w:r>
          </w:p>
        </w:tc>
        <w:tc>
          <w:tcPr>
            <w:tcW w:type="dxa" w:w="369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entrada.security.test.ts</w:t>
            </w:r>
          </w:p>
        </w:tc>
        <w:tc>
          <w:tcPr>
            <w:tcW w:type="dxa" w:w="858"/>
          </w:tcPr>
          <w:p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</w:tr>
      <w:tr>
        <w:trPr>
          <w:cantSplit w:val="true"/>
        </w:trPr>
        <w:tc>
          <w:tcPr>
            <w:tcW w:type="dxa" w:w="1381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SEC-HD-01</w:t>
            </w:r>
          </w:p>
        </w:tc>
        <w:tc>
          <w:tcPr>
            <w:tcW w:type="dxa" w:w="2709"/>
          </w:tcPr>
          <w:p>
            <w:pPr>
              <w:spacing w:after="0"/>
              <w:jc w:val="left"/>
            </w:pPr>
            <w:r>
              <w:rPr>
                <w:sz w:val="19"/>
              </w:rPr>
              <w:t>Cabeceras de seguridad (helmet) en respuestas normales y de error</w:t>
            </w:r>
          </w:p>
        </w:tc>
        <w:tc>
          <w:tcPr>
            <w:tcW w:type="dxa" w:w="369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endurecimiento.security.test.ts</w:t>
            </w:r>
          </w:p>
        </w:tc>
        <w:tc>
          <w:tcPr>
            <w:tcW w:type="dxa" w:w="858"/>
          </w:tcPr>
          <w:p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</w:tr>
      <w:tr>
        <w:trPr>
          <w:cantSplit w:val="true"/>
        </w:trPr>
        <w:tc>
          <w:tcPr>
            <w:tcW w:type="dxa" w:w="1381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SEC-HD-02</w:t>
            </w:r>
          </w:p>
        </w:tc>
        <w:tc>
          <w:tcPr>
            <w:tcW w:type="dxa" w:w="2709"/>
          </w:tcPr>
          <w:p>
            <w:pPr>
              <w:spacing w:after="0"/>
              <w:jc w:val="left"/>
            </w:pPr>
            <w:r>
              <w:rPr>
                <w:sz w:val="19"/>
              </w:rPr>
              <w:t>CORS solo para el origen del frontend</w:t>
            </w:r>
          </w:p>
        </w:tc>
        <w:tc>
          <w:tcPr>
            <w:tcW w:type="dxa" w:w="369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endurecimiento.security.test.ts</w:t>
            </w:r>
          </w:p>
        </w:tc>
        <w:tc>
          <w:tcPr>
            <w:tcW w:type="dxa" w:w="858"/>
          </w:tcPr>
          <w:p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</w:tr>
      <w:tr>
        <w:trPr>
          <w:cantSplit w:val="true"/>
        </w:trPr>
        <w:tc>
          <w:tcPr>
            <w:tcW w:type="dxa" w:w="1381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SEC-HD-03</w:t>
            </w:r>
          </w:p>
        </w:tc>
        <w:tc>
          <w:tcPr>
            <w:tcW w:type="dxa" w:w="2709"/>
          </w:tcPr>
          <w:p>
            <w:pPr>
              <w:spacing w:after="0"/>
              <w:jc w:val="left"/>
            </w:pPr>
            <w:r>
              <w:rPr>
                <w:sz w:val="19"/>
              </w:rPr>
              <w:t>Body malformado o excesivo es error del cliente (4xx)</w:t>
            </w:r>
          </w:p>
        </w:tc>
        <w:tc>
          <w:tcPr>
            <w:tcW w:type="dxa" w:w="369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endurecimiento.security.test.ts</w:t>
            </w:r>
          </w:p>
        </w:tc>
        <w:tc>
          <w:tcPr>
            <w:tcW w:type="dxa" w:w="858"/>
          </w:tcPr>
          <w:p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</w:tr>
      <w:tr>
        <w:trPr>
          <w:cantSplit w:val="true"/>
        </w:trPr>
        <w:tc>
          <w:tcPr>
            <w:tcW w:type="dxa" w:w="1381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SEC-HD-04</w:t>
            </w:r>
          </w:p>
        </w:tc>
        <w:tc>
          <w:tcPr>
            <w:tcW w:type="dxa" w:w="2709"/>
          </w:tcPr>
          <w:p>
            <w:pPr>
              <w:spacing w:after="0"/>
              <w:jc w:val="left"/>
            </w:pPr>
            <w:r>
              <w:rPr>
                <w:sz w:val="19"/>
              </w:rPr>
              <w:t>Los errores no exponen detalles internos</w:t>
            </w:r>
          </w:p>
        </w:tc>
        <w:tc>
          <w:tcPr>
            <w:tcW w:type="dxa" w:w="369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endurecimiento.security.test.ts</w:t>
            </w:r>
          </w:p>
        </w:tc>
        <w:tc>
          <w:tcPr>
            <w:tcW w:type="dxa" w:w="858"/>
          </w:tcPr>
          <w:p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1381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SEC-HD-05</w:t>
            </w:r>
          </w:p>
        </w:tc>
        <w:tc>
          <w:tcPr>
            <w:tcW w:type="dxa" w:w="2709"/>
          </w:tcPr>
          <w:p>
            <w:pPr>
              <w:spacing w:after="0"/>
              <w:jc w:val="left"/>
            </w:pPr>
            <w:r>
              <w:rPr>
                <w:sz w:val="19"/>
              </w:rPr>
              <w:t>Límite de frecuencia por usuario (rate limiting)</w:t>
            </w:r>
          </w:p>
        </w:tc>
        <w:tc>
          <w:tcPr>
            <w:tcW w:type="dxa" w:w="369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endurecimiento.security.test.ts</w:t>
            </w:r>
          </w:p>
        </w:tc>
        <w:tc>
          <w:tcPr>
            <w:tcW w:type="dxa" w:w="858"/>
          </w:tcPr>
          <w:p>
            <w:pPr>
              <w:spacing w:after="0"/>
              <w:jc w:val="center"/>
            </w:pPr>
            <w:r>
              <w:rPr>
                <w:sz w:val="19"/>
              </w:rPr>
              <w:t>6</w:t>
            </w:r>
          </w:p>
        </w:tc>
      </w:tr>
      <w:tr>
        <w:trPr>
          <w:cantSplit w:val="true"/>
        </w:trPr>
        <w:tc>
          <w:tcPr>
            <w:tcW w:type="dxa" w:w="1381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SEC-OUT-01</w:t>
            </w:r>
          </w:p>
        </w:tc>
        <w:tc>
          <w:tcPr>
            <w:tcW w:type="dxa" w:w="2709"/>
          </w:tcPr>
          <w:p>
            <w:pPr>
              <w:spacing w:after="0"/>
              <w:jc w:val="left"/>
            </w:pPr>
            <w:r>
              <w:rPr>
                <w:sz w:val="19"/>
              </w:rPr>
              <w:t>Un nombre malicioso se muestra como texto en el navegador</w:t>
            </w:r>
          </w:p>
        </w:tc>
        <w:tc>
          <w:tcPr>
            <w:tcW w:type="dxa" w:w="369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frontend/.../pockets.xss.test.tsx</w:t>
            </w:r>
          </w:p>
        </w:tc>
        <w:tc>
          <w:tcPr>
            <w:tcW w:type="dxa" w:w="858"/>
          </w:tcPr>
          <w:p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1381"/>
          </w:tcPr>
          <w:p>
            <w:pPr>
              <w:spacing w:after="0"/>
              <w:jc w:val="left"/>
            </w:pPr>
          </w:p>
        </w:tc>
        <w:tc>
          <w:tcPr>
            <w:tcW w:type="dxa" w:w="2709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3692"/>
          </w:tcPr>
          <w:p>
            <w:pPr>
              <w:spacing w:after="0"/>
              <w:jc w:val="left"/>
            </w:pPr>
          </w:p>
        </w:tc>
        <w:tc>
          <w:tcPr>
            <w:tcW w:type="dxa" w:w="85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158</w:t>
            </w:r>
          </w:p>
        </w:tc>
      </w:tr>
    </w:tbl>
    <w:p>
      <w:pPr>
        <w:spacing w:after="40"/>
      </w:pPr>
    </w:p>
    <w:p>
      <w:r>
        <w:rPr/>
        <w:t>Detalle de las tablas principales:</w:t>
      </w:r>
    </w:p>
    <w:p>
      <w:pPr>
        <w:pStyle w:val="ListBullet"/>
        <w:spacing w:after="60"/>
      </w:pPr>
      <w:r>
        <w:rPr>
          <w:b/>
        </w:rPr>
        <w:t>SEC-AUTH</w:t>
      </w:r>
      <w:r>
        <w:rPr/>
        <w:t xml:space="preserve">, por cada una de las 6 operaciones: sin cabecera, esquema </w:t>
      </w:r>
      <w:r>
        <w:rPr>
          <w:rFonts w:ascii="Consolas" w:hAnsi="Consolas"/>
          <w:b w:val="0"/>
          <w:color w:val="8B1E3F"/>
          <w:sz w:val="19"/>
        </w:rPr>
        <w:t>Basic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Bearer</w:t>
      </w:r>
      <w:r>
        <w:rPr/>
        <w:t xml:space="preserve"> vacío, token malformado, firmado con otro secreto, vencido, algoritmo </w:t>
      </w:r>
      <w:r>
        <w:rPr>
          <w:rFonts w:ascii="Consolas" w:hAnsi="Consolas"/>
          <w:b w:val="0"/>
          <w:color w:val="8B1E3F"/>
          <w:sz w:val="19"/>
        </w:rPr>
        <w:t>none</w:t>
      </w:r>
      <w:r>
        <w:rPr/>
        <w:t xml:space="preserve"> (sin firma) y payload alterado para suplantar al titular. Siempre 401, con el código exacto y </w:t>
      </w:r>
      <w:r>
        <w:rPr>
          <w:b/>
        </w:rPr>
        <w:t>sin efectos</w:t>
      </w:r>
      <w:r>
        <w:rPr/>
        <w:t xml:space="preserve"> (saldo, bolsillos y notificaciones intactos). Incluye un control positivo con un token legítimo y los tokens de propósito único (2FA y recuperación), también contra </w:t>
      </w:r>
      <w:r>
        <w:rPr>
          <w:rFonts w:ascii="Consolas" w:hAnsi="Consolas"/>
          <w:b w:val="0"/>
          <w:color w:val="8B1E3F"/>
          <w:sz w:val="19"/>
        </w:rPr>
        <w:t>adminMiddleware</w:t>
      </w:r>
      <w:r>
        <w:rPr/>
        <w:t>.</w:t>
      </w:r>
    </w:p>
    <w:p>
      <w:pPr>
        <w:pStyle w:val="ListBullet"/>
        <w:spacing w:after="60"/>
      </w:pPr>
      <w:r>
        <w:rPr>
          <w:b/>
        </w:rPr>
        <w:t>SEC-AUTHZ</w:t>
      </w:r>
      <w:r>
        <w:rPr/>
        <w:t>: IDOR en las 6 operaciones (el intruso usa ids del titular → 403 y ninguna cuenta cambia); tres intentos de mover dinero entre cuentas de distintos dueños (→ 400, no se mueve dinero); mass assignment al crear, actualizar, depositar y transferir.</w:t>
      </w:r>
    </w:p>
    <w:p>
      <w:pPr>
        <w:pStyle w:val="ListBullet"/>
        <w:spacing w:after="60"/>
      </w:pPr>
      <w:r>
        <w:rPr>
          <w:b/>
        </w:rPr>
        <w:t>SEC-IN-01</w:t>
      </w:r>
      <w:r>
        <w:rPr/>
        <w:t>: 4 montos válidos (</w:t>
      </w:r>
      <w:r>
        <w:rPr>
          <w:rFonts w:ascii="Consolas" w:hAnsi="Consolas"/>
          <w:b w:val="0"/>
          <w:color w:val="8B1E3F"/>
          <w:sz w:val="19"/>
        </w:rPr>
        <w:t>1500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1500.5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"1500"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"1500.50"</w:t>
      </w:r>
      <w:r>
        <w:rPr/>
        <w:t>) y 12 inválidos (</w:t>
      </w:r>
      <w:r>
        <w:rPr>
          <w:rFonts w:ascii="Consolas" w:hAnsi="Consolas"/>
          <w:b w:val="0"/>
          <w:color w:val="8B1E3F"/>
          <w:sz w:val="19"/>
        </w:rPr>
        <w:t>true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false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null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[]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[1500]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{…}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""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"   "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"abc"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"0x10"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"1e3"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-1</w:t>
      </w:r>
      <w:r>
        <w:rPr/>
        <w:t>), aplicados a crear bolsillo y a depositar.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6. Hallazgos</w:t>
      </w:r>
    </w:p>
    <w:p>
      <w:pPr>
        <w:pStyle w:val="Heading2"/>
      </w:pPr>
      <w:r>
        <w:rPr/>
        <w:t>6.1 Resumen</w:t>
      </w:r>
    </w:p>
    <w:p>
      <w:r>
        <w:rPr/>
        <w:t xml:space="preserve">Severidad cualitativa del probador; el vector CVSS 3.1 es una </w:t>
      </w:r>
      <w:r>
        <w:rPr>
          <w:b/>
        </w:rPr>
        <w:t>estimación</w:t>
      </w:r>
      <w:r>
        <w:rPr/>
        <w:t xml:space="preserve"> para comparar hallazgos, no una calificación oficial.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"/>
        <w:gridCol w:w="2502"/>
        <w:gridCol w:w="1263"/>
        <w:gridCol w:w="1033"/>
        <w:gridCol w:w="823"/>
        <w:gridCol w:w="823"/>
        <w:gridCol w:w="1268"/>
      </w:tblGrid>
      <w:tr>
        <w:trPr>
          <w:cantSplit w:val="true"/>
          <w:tblHeader w:val="true"/>
        </w:trPr>
        <w:tc>
          <w:tcPr>
            <w:tcW w:type="dxa" w:w="928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2502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26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103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CWE</w:t>
            </w:r>
          </w:p>
        </w:tc>
        <w:tc>
          <w:tcPr>
            <w:tcW w:type="dxa" w:w="82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OWASP</w:t>
            </w:r>
          </w:p>
        </w:tc>
        <w:tc>
          <w:tcPr>
            <w:tcW w:type="dxa" w:w="823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Casos</w:t>
            </w:r>
          </w:p>
        </w:tc>
        <w:tc>
          <w:tcPr>
            <w:tcW w:type="dxa" w:w="1268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92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SEC-01</w:t>
            </w:r>
          </w:p>
        </w:tc>
        <w:tc>
          <w:tcPr>
            <w:tcW w:type="dxa" w:w="2502"/>
          </w:tcPr>
          <w:p>
            <w:pPr>
              <w:spacing w:after="0"/>
              <w:jc w:val="left"/>
            </w:pPr>
            <w:r>
              <w:rPr>
                <w:sz w:val="19"/>
              </w:rPr>
              <w:t>El token temporal de 2FA sirve como token de acceso (bypass de 2FA)</w:t>
            </w:r>
          </w:p>
        </w:tc>
        <w:tc>
          <w:tcPr>
            <w:tcW w:type="dxa" w:w="1263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Alta</w:t>
            </w:r>
            <w:r>
              <w:rPr>
                <w:sz w:val="19"/>
              </w:rPr>
              <w:t xml:space="preserve"> (7.4)</w:t>
            </w:r>
          </w:p>
        </w:tc>
        <w:tc>
          <w:tcPr>
            <w:tcW w:type="dxa" w:w="1033"/>
          </w:tcPr>
          <w:p>
            <w:pPr>
              <w:spacing w:after="0"/>
              <w:jc w:val="left"/>
            </w:pPr>
            <w:r>
              <w:rPr>
                <w:sz w:val="19"/>
              </w:rPr>
              <w:t>CWE-287</w:t>
            </w:r>
          </w:p>
        </w:tc>
        <w:tc>
          <w:tcPr>
            <w:tcW w:type="dxa" w:w="823"/>
          </w:tcPr>
          <w:p>
            <w:pPr>
              <w:spacing w:after="0"/>
              <w:jc w:val="left"/>
            </w:pPr>
            <w:r>
              <w:rPr>
                <w:sz w:val="19"/>
              </w:rPr>
              <w:t>API2</w:t>
            </w:r>
          </w:p>
        </w:tc>
        <w:tc>
          <w:tcPr>
            <w:tcW w:type="dxa" w:w="823"/>
          </w:tcPr>
          <w:p>
            <w:pPr>
              <w:spacing w:after="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268"/>
          </w:tcPr>
          <w:p>
            <w:pPr>
              <w:spacing w:after="0"/>
              <w:jc w:val="left"/>
            </w:pPr>
            <w:r>
              <w:rPr>
                <w:sz w:val="19"/>
              </w:rPr>
              <w:t>✅ Corregido</w:t>
            </w:r>
          </w:p>
        </w:tc>
      </w:tr>
      <w:tr>
        <w:trPr>
          <w:cantSplit w:val="true"/>
        </w:trPr>
        <w:tc>
          <w:tcPr>
            <w:tcW w:type="dxa" w:w="92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SEC-02</w:t>
            </w:r>
          </w:p>
        </w:tc>
        <w:tc>
          <w:tcPr>
            <w:tcW w:type="dxa" w:w="2502"/>
          </w:tcPr>
          <w:p>
            <w:pPr>
              <w:spacing w:after="0"/>
              <w:jc w:val="left"/>
            </w:pPr>
            <w:r>
              <w:rPr>
                <w:sz w:val="19"/>
              </w:rPr>
              <w:t>El token de recuperación de contraseña sirve como token de acceso</w:t>
            </w:r>
          </w:p>
        </w:tc>
        <w:tc>
          <w:tcPr>
            <w:tcW w:type="dxa" w:w="1263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Alta</w:t>
            </w:r>
            <w:r>
              <w:rPr>
                <w:sz w:val="19"/>
              </w:rPr>
              <w:t xml:space="preserve"> (7.4)</w:t>
            </w:r>
          </w:p>
        </w:tc>
        <w:tc>
          <w:tcPr>
            <w:tcW w:type="dxa" w:w="1033"/>
          </w:tcPr>
          <w:p>
            <w:pPr>
              <w:spacing w:after="0"/>
              <w:jc w:val="left"/>
            </w:pPr>
            <w:r>
              <w:rPr>
                <w:sz w:val="19"/>
              </w:rPr>
              <w:t>CWE-287</w:t>
            </w:r>
          </w:p>
        </w:tc>
        <w:tc>
          <w:tcPr>
            <w:tcW w:type="dxa" w:w="823"/>
          </w:tcPr>
          <w:p>
            <w:pPr>
              <w:spacing w:after="0"/>
              <w:jc w:val="left"/>
            </w:pPr>
            <w:r>
              <w:rPr>
                <w:sz w:val="19"/>
              </w:rPr>
              <w:t>API2</w:t>
            </w:r>
          </w:p>
        </w:tc>
        <w:tc>
          <w:tcPr>
            <w:tcW w:type="dxa" w:w="823"/>
          </w:tcPr>
          <w:p>
            <w:pPr>
              <w:spacing w:after="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268"/>
          </w:tcPr>
          <w:p>
            <w:pPr>
              <w:spacing w:after="0"/>
              <w:jc w:val="left"/>
            </w:pPr>
            <w:r>
              <w:rPr>
                <w:sz w:val="19"/>
              </w:rPr>
              <w:t>✅ Corregido</w:t>
            </w:r>
          </w:p>
        </w:tc>
      </w:tr>
      <w:tr>
        <w:trPr>
          <w:cantSplit w:val="true"/>
        </w:trPr>
        <w:tc>
          <w:tcPr>
            <w:tcW w:type="dxa" w:w="92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SEC-03</w:t>
            </w:r>
          </w:p>
        </w:tc>
        <w:tc>
          <w:tcPr>
            <w:tcW w:type="dxa" w:w="2502"/>
          </w:tcPr>
          <w:p>
            <w:pPr>
              <w:spacing w:after="0"/>
              <w:jc w:val="left"/>
            </w:pPr>
            <w:r>
              <w:rPr>
                <w:i/>
                <w:sz w:val="19"/>
              </w:rPr>
              <w:t>Type juggling</w:t>
            </w:r>
            <w:r>
              <w:rPr>
                <w:sz w:val="19"/>
              </w:rPr>
              <w:t xml:space="preserve"> del monto al crear bolsillo (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z.coerce.number</w:t>
            </w:r>
            <w:r>
              <w:rPr>
                <w:sz w:val="19"/>
              </w:rPr>
              <w:t>) — incluye D-02</w:t>
            </w:r>
          </w:p>
        </w:tc>
        <w:tc>
          <w:tcPr>
            <w:tcW w:type="dxa" w:w="1263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Media</w:t>
            </w:r>
            <w:r>
              <w:rPr>
                <w:sz w:val="19"/>
              </w:rPr>
              <w:t xml:space="preserve"> (4.3)</w:t>
            </w:r>
          </w:p>
        </w:tc>
        <w:tc>
          <w:tcPr>
            <w:tcW w:type="dxa" w:w="1033"/>
          </w:tcPr>
          <w:p>
            <w:pPr>
              <w:spacing w:after="0"/>
              <w:jc w:val="left"/>
            </w:pPr>
            <w:r>
              <w:rPr>
                <w:sz w:val="19"/>
              </w:rPr>
              <w:t>CWE-20</w:t>
            </w:r>
          </w:p>
        </w:tc>
        <w:tc>
          <w:tcPr>
            <w:tcW w:type="dxa" w:w="823"/>
          </w:tcPr>
          <w:p>
            <w:pPr>
              <w:spacing w:after="0"/>
              <w:jc w:val="left"/>
            </w:pPr>
            <w:r>
              <w:rPr>
                <w:sz w:val="19"/>
              </w:rPr>
              <w:t>API8</w:t>
            </w:r>
          </w:p>
        </w:tc>
        <w:tc>
          <w:tcPr>
            <w:tcW w:type="dxa" w:w="823"/>
          </w:tcPr>
          <w:p>
            <w:pPr>
              <w:spacing w:after="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1268"/>
          </w:tcPr>
          <w:p>
            <w:pPr>
              <w:spacing w:after="0"/>
              <w:jc w:val="left"/>
            </w:pPr>
            <w:r>
              <w:rPr>
                <w:sz w:val="19"/>
              </w:rPr>
              <w:t>✅ Corregido</w:t>
            </w:r>
          </w:p>
        </w:tc>
      </w:tr>
      <w:tr>
        <w:trPr>
          <w:cantSplit w:val="true"/>
        </w:trPr>
        <w:tc>
          <w:tcPr>
            <w:tcW w:type="dxa" w:w="92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SEC-04</w:t>
            </w:r>
          </w:p>
        </w:tc>
        <w:tc>
          <w:tcPr>
            <w:tcW w:type="dxa" w:w="2502"/>
          </w:tcPr>
          <w:p>
            <w:pPr>
              <w:spacing w:after="0"/>
              <w:jc w:val="left"/>
            </w:pPr>
            <w:r>
              <w:rPr>
                <w:i/>
                <w:sz w:val="19"/>
              </w:rPr>
              <w:t>Type juggling</w:t>
            </w:r>
            <w:r>
              <w:rPr>
                <w:sz w:val="19"/>
              </w:rPr>
              <w:t xml:space="preserve"> del monto al depositar (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Number(amount)</w:t>
            </w:r>
            <w:r>
              <w:rPr>
                <w:sz w:val="19"/>
              </w:rPr>
              <w:t>) — incluye D-08</w:t>
            </w:r>
          </w:p>
        </w:tc>
        <w:tc>
          <w:tcPr>
            <w:tcW w:type="dxa" w:w="1263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Media</w:t>
            </w:r>
            <w:r>
              <w:rPr>
                <w:sz w:val="19"/>
              </w:rPr>
              <w:t xml:space="preserve"> (4.3)</w:t>
            </w:r>
          </w:p>
        </w:tc>
        <w:tc>
          <w:tcPr>
            <w:tcW w:type="dxa" w:w="1033"/>
          </w:tcPr>
          <w:p>
            <w:pPr>
              <w:spacing w:after="0"/>
              <w:jc w:val="left"/>
            </w:pPr>
            <w:r>
              <w:rPr>
                <w:sz w:val="19"/>
              </w:rPr>
              <w:t>CWE-20</w:t>
            </w:r>
          </w:p>
        </w:tc>
        <w:tc>
          <w:tcPr>
            <w:tcW w:type="dxa" w:w="823"/>
          </w:tcPr>
          <w:p>
            <w:pPr>
              <w:spacing w:after="0"/>
              <w:jc w:val="left"/>
            </w:pPr>
            <w:r>
              <w:rPr>
                <w:sz w:val="19"/>
              </w:rPr>
              <w:t>API8</w:t>
            </w:r>
          </w:p>
        </w:tc>
        <w:tc>
          <w:tcPr>
            <w:tcW w:type="dxa" w:w="823"/>
          </w:tcPr>
          <w:p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268"/>
          </w:tcPr>
          <w:p>
            <w:pPr>
              <w:spacing w:after="0"/>
              <w:jc w:val="left"/>
            </w:pPr>
            <w:r>
              <w:rPr>
                <w:sz w:val="19"/>
              </w:rPr>
              <w:t>✅ Corregido</w:t>
            </w:r>
          </w:p>
        </w:tc>
      </w:tr>
      <w:tr>
        <w:trPr>
          <w:cantSplit w:val="true"/>
        </w:trPr>
        <w:tc>
          <w:tcPr>
            <w:tcW w:type="dxa" w:w="92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SEC-05</w:t>
            </w:r>
          </w:p>
        </w:tc>
        <w:tc>
          <w:tcPr>
            <w:tcW w:type="dxa" w:w="2502"/>
          </w:tcPr>
          <w:p>
            <w:pPr>
              <w:spacing w:after="0"/>
              <w:jc w:val="left"/>
            </w:pPr>
            <w:r>
              <w:rPr>
                <w:sz w:val="19"/>
              </w:rPr>
              <w:t>Se aceptan montos fuera del rango entero seguro (pérdida de precisión)</w:t>
            </w:r>
          </w:p>
        </w:tc>
        <w:tc>
          <w:tcPr>
            <w:tcW w:type="dxa" w:w="1263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Media</w:t>
            </w:r>
            <w:r>
              <w:rPr>
                <w:sz w:val="19"/>
              </w:rPr>
              <w:t xml:space="preserve"> (4.3)</w:t>
            </w:r>
          </w:p>
        </w:tc>
        <w:tc>
          <w:tcPr>
            <w:tcW w:type="dxa" w:w="1033"/>
          </w:tcPr>
          <w:p>
            <w:pPr>
              <w:spacing w:after="0"/>
              <w:jc w:val="left"/>
            </w:pPr>
            <w:r>
              <w:rPr>
                <w:sz w:val="19"/>
              </w:rPr>
              <w:t>CWE-681</w:t>
            </w:r>
          </w:p>
        </w:tc>
        <w:tc>
          <w:tcPr>
            <w:tcW w:type="dxa" w:w="823"/>
          </w:tcPr>
          <w:p>
            <w:pPr>
              <w:spacing w:after="0"/>
              <w:jc w:val="left"/>
            </w:pPr>
            <w:r>
              <w:rPr>
                <w:sz w:val="19"/>
              </w:rPr>
              <w:t>API8</w:t>
            </w:r>
          </w:p>
        </w:tc>
        <w:tc>
          <w:tcPr>
            <w:tcW w:type="dxa" w:w="823"/>
          </w:tcPr>
          <w:p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268"/>
          </w:tcPr>
          <w:p>
            <w:pPr>
              <w:spacing w:after="0"/>
              <w:jc w:val="left"/>
            </w:pPr>
            <w:r>
              <w:rPr>
                <w:sz w:val="19"/>
              </w:rPr>
              <w:t>⏳ Abierto</w:t>
            </w:r>
          </w:p>
        </w:tc>
      </w:tr>
      <w:tr>
        <w:trPr>
          <w:cantSplit w:val="true"/>
        </w:trPr>
        <w:tc>
          <w:tcPr>
            <w:tcW w:type="dxa" w:w="92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SEC-06</w:t>
            </w:r>
          </w:p>
        </w:tc>
        <w:tc>
          <w:tcPr>
            <w:tcW w:type="dxa" w:w="2502"/>
          </w:tcPr>
          <w:p>
            <w:pPr>
              <w:spacing w:after="0"/>
              <w:jc w:val="left"/>
            </w:pPr>
            <w:r>
              <w:rPr>
                <w:sz w:val="19"/>
              </w:rPr>
              <w:t>JSON malformado responde 500 en vez de 400</w:t>
            </w:r>
          </w:p>
        </w:tc>
        <w:tc>
          <w:tcPr>
            <w:tcW w:type="dxa" w:w="1263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Baja</w:t>
            </w:r>
          </w:p>
        </w:tc>
        <w:tc>
          <w:tcPr>
            <w:tcW w:type="dxa" w:w="1033"/>
          </w:tcPr>
          <w:p>
            <w:pPr>
              <w:spacing w:after="0"/>
              <w:jc w:val="left"/>
            </w:pPr>
            <w:r>
              <w:rPr>
                <w:sz w:val="19"/>
              </w:rPr>
              <w:t>CWE-755</w:t>
            </w:r>
          </w:p>
        </w:tc>
        <w:tc>
          <w:tcPr>
            <w:tcW w:type="dxa" w:w="823"/>
          </w:tcPr>
          <w:p>
            <w:pPr>
              <w:spacing w:after="0"/>
              <w:jc w:val="left"/>
            </w:pPr>
            <w:r>
              <w:rPr>
                <w:sz w:val="19"/>
              </w:rPr>
              <w:t>API8</w:t>
            </w:r>
          </w:p>
        </w:tc>
        <w:tc>
          <w:tcPr>
            <w:tcW w:type="dxa" w:w="823"/>
          </w:tcPr>
          <w:p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268"/>
          </w:tcPr>
          <w:p>
            <w:pPr>
              <w:spacing w:after="0"/>
              <w:jc w:val="left"/>
            </w:pPr>
            <w:r>
              <w:rPr>
                <w:sz w:val="19"/>
              </w:rPr>
              <w:t>⏳ Abierto</w:t>
            </w:r>
          </w:p>
        </w:tc>
      </w:tr>
      <w:tr>
        <w:trPr>
          <w:cantSplit w:val="true"/>
        </w:trPr>
        <w:tc>
          <w:tcPr>
            <w:tcW w:type="dxa" w:w="92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SEC-07</w:t>
            </w:r>
          </w:p>
        </w:tc>
        <w:tc>
          <w:tcPr>
            <w:tcW w:type="dxa" w:w="2502"/>
          </w:tcPr>
          <w:p>
            <w:pPr>
              <w:spacing w:after="0"/>
              <w:jc w:val="left"/>
            </w:pPr>
            <w:r>
              <w:rPr>
                <w:sz w:val="19"/>
              </w:rPr>
              <w:t>Body de más de 10 KB responde 500 en vez de 413</w:t>
            </w:r>
          </w:p>
        </w:tc>
        <w:tc>
          <w:tcPr>
            <w:tcW w:type="dxa" w:w="1263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Baja</w:t>
            </w:r>
          </w:p>
        </w:tc>
        <w:tc>
          <w:tcPr>
            <w:tcW w:type="dxa" w:w="1033"/>
          </w:tcPr>
          <w:p>
            <w:pPr>
              <w:spacing w:after="0"/>
              <w:jc w:val="left"/>
            </w:pPr>
            <w:r>
              <w:rPr>
                <w:sz w:val="19"/>
              </w:rPr>
              <w:t>CWE-755</w:t>
            </w:r>
          </w:p>
        </w:tc>
        <w:tc>
          <w:tcPr>
            <w:tcW w:type="dxa" w:w="823"/>
          </w:tcPr>
          <w:p>
            <w:pPr>
              <w:spacing w:after="0"/>
              <w:jc w:val="left"/>
            </w:pPr>
            <w:r>
              <w:rPr>
                <w:sz w:val="19"/>
              </w:rPr>
              <w:t>API4</w:t>
            </w:r>
          </w:p>
        </w:tc>
        <w:tc>
          <w:tcPr>
            <w:tcW w:type="dxa" w:w="823"/>
          </w:tcPr>
          <w:p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268"/>
          </w:tcPr>
          <w:p>
            <w:pPr>
              <w:spacing w:after="0"/>
              <w:jc w:val="left"/>
            </w:pPr>
            <w:r>
              <w:rPr>
                <w:sz w:val="19"/>
              </w:rPr>
              <w:t>⏳ Abierto</w:t>
            </w:r>
          </w:p>
        </w:tc>
      </w:tr>
      <w:tr>
        <w:trPr>
          <w:cantSplit w:val="true"/>
        </w:trPr>
        <w:tc>
          <w:tcPr>
            <w:tcW w:type="dxa" w:w="92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SEC-08</w:t>
            </w:r>
          </w:p>
        </w:tc>
        <w:tc>
          <w:tcPr>
            <w:tcW w:type="dxa" w:w="2502"/>
          </w:tcPr>
          <w:p>
            <w:pPr>
              <w:spacing w:after="0"/>
              <w:jc w:val="left"/>
            </w:pPr>
            <w:r>
              <w:rPr>
                <w:sz w:val="19"/>
              </w:rPr>
              <w:t>Sin límite de frecuencia en Bolsillos y depósito</w:t>
            </w:r>
          </w:p>
        </w:tc>
        <w:tc>
          <w:tcPr>
            <w:tcW w:type="dxa" w:w="1263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Media</w:t>
            </w:r>
            <w:r>
              <w:rPr>
                <w:sz w:val="19"/>
              </w:rPr>
              <w:t xml:space="preserve"> (4.3)</w:t>
            </w:r>
          </w:p>
        </w:tc>
        <w:tc>
          <w:tcPr>
            <w:tcW w:type="dxa" w:w="1033"/>
          </w:tcPr>
          <w:p>
            <w:pPr>
              <w:spacing w:after="0"/>
              <w:jc w:val="left"/>
            </w:pPr>
            <w:r>
              <w:rPr>
                <w:sz w:val="19"/>
              </w:rPr>
              <w:t>CWE-770</w:t>
            </w:r>
          </w:p>
        </w:tc>
        <w:tc>
          <w:tcPr>
            <w:tcW w:type="dxa" w:w="823"/>
          </w:tcPr>
          <w:p>
            <w:pPr>
              <w:spacing w:after="0"/>
              <w:jc w:val="left"/>
            </w:pPr>
            <w:r>
              <w:rPr>
                <w:sz w:val="19"/>
              </w:rPr>
              <w:t>API4</w:t>
            </w:r>
          </w:p>
        </w:tc>
        <w:tc>
          <w:tcPr>
            <w:tcW w:type="dxa" w:w="823"/>
          </w:tcPr>
          <w:p>
            <w:pPr>
              <w:spacing w:after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268"/>
          </w:tcPr>
          <w:p>
            <w:pPr>
              <w:spacing w:after="0"/>
              <w:jc w:val="left"/>
            </w:pPr>
            <w:r>
              <w:rPr>
                <w:sz w:val="19"/>
              </w:rPr>
              <w:t>⏳ Abierto</w:t>
            </w:r>
          </w:p>
        </w:tc>
      </w:tr>
    </w:tbl>
    <w:p>
      <w:pPr>
        <w:spacing w:after="40"/>
      </w:pPr>
    </w:p>
    <w:p>
      <w:r>
        <w:rPr/>
        <w:t>Vectores CVSS 3.1 estimados: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7"/>
        <w:gridCol w:w="4324"/>
        <w:gridCol w:w="1399"/>
      </w:tblGrid>
      <w:tr>
        <w:trPr>
          <w:cantSplit w:val="true"/>
          <w:tblHeader w:val="true"/>
        </w:trPr>
        <w:tc>
          <w:tcPr>
            <w:tcW w:type="dxa" w:w="291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Hallazgos</w:t>
            </w:r>
          </w:p>
        </w:tc>
        <w:tc>
          <w:tcPr>
            <w:tcW w:type="dxa" w:w="4324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Vector</w:t>
            </w:r>
          </w:p>
        </w:tc>
        <w:tc>
          <w:tcPr>
            <w:tcW w:type="dxa" w:w="1399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Puntaje</w:t>
            </w:r>
          </w:p>
        </w:tc>
      </w:tr>
      <w:tr>
        <w:trPr>
          <w:cantSplit w:val="true"/>
        </w:trPr>
        <w:tc>
          <w:tcPr>
            <w:tcW w:type="dxa" w:w="2917"/>
          </w:tcPr>
          <w:p>
            <w:pPr>
              <w:spacing w:after="0"/>
              <w:jc w:val="left"/>
            </w:pPr>
            <w:r>
              <w:rPr>
                <w:sz w:val="19"/>
              </w:rPr>
              <w:t>SEC-01, SEC-02</w:t>
            </w:r>
          </w:p>
        </w:tc>
        <w:tc>
          <w:tcPr>
            <w:tcW w:type="dxa" w:w="432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AV:N/AC:H/PR:N/UI:N/S:U/C:H/I:H/A:N</w:t>
            </w:r>
          </w:p>
        </w:tc>
        <w:tc>
          <w:tcPr>
            <w:tcW w:type="dxa" w:w="1399"/>
          </w:tcPr>
          <w:p>
            <w:pPr>
              <w:spacing w:after="0"/>
              <w:jc w:val="center"/>
            </w:pPr>
            <w:r>
              <w:rPr>
                <w:sz w:val="19"/>
              </w:rPr>
              <w:t>7.4</w:t>
            </w:r>
          </w:p>
        </w:tc>
      </w:tr>
      <w:tr>
        <w:trPr>
          <w:cantSplit w:val="true"/>
        </w:trPr>
        <w:tc>
          <w:tcPr>
            <w:tcW w:type="dxa" w:w="2917"/>
          </w:tcPr>
          <w:p>
            <w:pPr>
              <w:spacing w:after="0"/>
              <w:jc w:val="left"/>
            </w:pPr>
            <w:r>
              <w:rPr>
                <w:sz w:val="19"/>
              </w:rPr>
              <w:t>SEC-03, SEC-04, SEC-05</w:t>
            </w:r>
          </w:p>
        </w:tc>
        <w:tc>
          <w:tcPr>
            <w:tcW w:type="dxa" w:w="432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AV:N/AC:L/PR:L/UI:N/S:U/C:N/I:L/A:N</w:t>
            </w:r>
          </w:p>
        </w:tc>
        <w:tc>
          <w:tcPr>
            <w:tcW w:type="dxa" w:w="1399"/>
          </w:tcPr>
          <w:p>
            <w:pPr>
              <w:spacing w:after="0"/>
              <w:jc w:val="center"/>
            </w:pPr>
            <w:r>
              <w:rPr>
                <w:sz w:val="19"/>
              </w:rPr>
              <w:t>4.3</w:t>
            </w:r>
          </w:p>
        </w:tc>
      </w:tr>
      <w:tr>
        <w:trPr>
          <w:cantSplit w:val="true"/>
        </w:trPr>
        <w:tc>
          <w:tcPr>
            <w:tcW w:type="dxa" w:w="2917"/>
          </w:tcPr>
          <w:p>
            <w:pPr>
              <w:spacing w:after="0"/>
              <w:jc w:val="left"/>
            </w:pPr>
            <w:r>
              <w:rPr>
                <w:sz w:val="19"/>
              </w:rPr>
              <w:t>SEC-08</w:t>
            </w:r>
          </w:p>
        </w:tc>
        <w:tc>
          <w:tcPr>
            <w:tcW w:type="dxa" w:w="432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AV:N/AC:L/PR:L/UI:N/S:U/C:N/I:N/A:L</w:t>
            </w:r>
          </w:p>
        </w:tc>
        <w:tc>
          <w:tcPr>
            <w:tcW w:type="dxa" w:w="1399"/>
          </w:tcPr>
          <w:p>
            <w:pPr>
              <w:spacing w:after="0"/>
              <w:jc w:val="center"/>
            </w:pPr>
            <w:r>
              <w:rPr>
                <w:sz w:val="19"/>
              </w:rPr>
              <w:t>4.3</w:t>
            </w:r>
          </w:p>
        </w:tc>
      </w:tr>
    </w:tbl>
    <w:p>
      <w:pPr>
        <w:spacing w:after="40"/>
      </w:pPr>
    </w:p>
    <w:p>
      <w:r>
        <w:rPr/>
        <w:t>SEC-01 y SEC-02 tienen complejidad alta (</w:t>
      </w:r>
      <w:r>
        <w:rPr>
          <w:rFonts w:ascii="Consolas" w:hAnsi="Consolas"/>
          <w:b w:val="0"/>
          <w:color w:val="8B1E3F"/>
          <w:sz w:val="19"/>
        </w:rPr>
        <w:t>AC:H</w:t>
      </w:r>
      <w:r>
        <w:rPr/>
        <w:t>) porque el atacante necesita antes la contraseña o el enlace del correo de la víctima.</w:t>
      </w:r>
    </w:p>
    <w:p>
      <w:pPr>
        <w:pStyle w:val="Heading2"/>
      </w:pPr>
      <w:r>
        <w:rPr/>
        <w:t>6.2 SEC-01 — Bypass del segundo factor (2FA)</w:t>
      </w:r>
    </w:p>
    <w:p>
      <w:r>
        <w:rPr>
          <w:b/>
        </w:rPr>
        <w:t>Escenario de ataque.</w:t>
      </w:r>
    </w:p>
    <w:p>
      <w:pPr>
        <w:pStyle w:val="ListNumber"/>
        <w:numPr>
          <w:ilvl w:val="0"/>
          <w:numId w:val="11"/>
        </w:numPr>
        <w:spacing w:after="60"/>
      </w:pPr>
      <w:r>
        <w:rPr/>
        <w:t>El atacante conoce la contraseña de la víctima (filtración, reutilización, phishing).</w:t>
      </w:r>
    </w:p>
    <w:p>
      <w:pPr>
        <w:pStyle w:val="ListNumber"/>
        <w:numPr>
          <w:ilvl w:val="0"/>
          <w:numId w:val="11"/>
        </w:numPr>
        <w:spacing w:after="60"/>
      </w:pPr>
      <w:r>
        <w:rPr/>
        <w:t xml:space="preserve">Hace </w:t>
      </w:r>
      <w:r>
        <w:rPr>
          <w:rFonts w:ascii="Consolas" w:hAnsi="Consolas"/>
          <w:b w:val="0"/>
          <w:color w:val="8B1E3F"/>
          <w:sz w:val="19"/>
        </w:rPr>
        <w:t>POST /auth/login</w:t>
      </w:r>
      <w:r>
        <w:rPr/>
        <w:t xml:space="preserve">; como la víctima tiene 2FA, recibe un </w:t>
      </w:r>
      <w:r>
        <w:rPr>
          <w:rFonts w:ascii="Consolas" w:hAnsi="Consolas"/>
          <w:b w:val="0"/>
          <w:color w:val="8B1E3F"/>
          <w:sz w:val="19"/>
        </w:rPr>
        <w:t>temporaryToken</w:t>
      </w:r>
      <w:r>
        <w:rPr/>
        <w:t xml:space="preserve"> y el código OTP se envía </w:t>
      </w:r>
      <w:r>
        <w:rPr>
          <w:b/>
        </w:rPr>
        <w:t>al correo de la víctima</w:t>
      </w:r>
      <w:r>
        <w:rPr/>
        <w:t>, que el atacante no ve.</w:t>
      </w:r>
    </w:p>
    <w:p>
      <w:pPr>
        <w:pStyle w:val="ListNumber"/>
        <w:numPr>
          <w:ilvl w:val="0"/>
          <w:numId w:val="11"/>
        </w:numPr>
        <w:spacing w:after="60"/>
      </w:pPr>
      <w:r>
        <w:rPr/>
        <w:t xml:space="preserve">Usa ese </w:t>
      </w:r>
      <w:r>
        <w:rPr>
          <w:rFonts w:ascii="Consolas" w:hAnsi="Consolas"/>
          <w:b w:val="0"/>
          <w:color w:val="8B1E3F"/>
          <w:sz w:val="19"/>
        </w:rPr>
        <w:t>temporaryToken</w:t>
      </w:r>
      <w:r>
        <w:rPr/>
        <w:t xml:space="preserve"> como </w:t>
      </w:r>
      <w:r>
        <w:rPr>
          <w:rFonts w:ascii="Consolas" w:hAnsi="Consolas"/>
          <w:b w:val="0"/>
          <w:color w:val="8B1E3F"/>
          <w:sz w:val="19"/>
        </w:rPr>
        <w:t>Authorization: Bearer …</w:t>
      </w:r>
      <w:r>
        <w:rPr/>
        <w:t xml:space="preserve"> en cualquier endpoint protegido.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b/>
        </w:rPr>
        <w:t>Resultado observado:</w:t>
      </w:r>
      <w:r>
        <w:rPr/>
        <w:t xml:space="preserve"> crear (201), consultar, actualizar, eliminar, transferir y depositar (200), e incluso las rutas de administrador (200) si la víctima es admin.</w:t>
      </w:r>
    </w:p>
    <w:p>
      <w:r>
        <w:rPr>
          <w:b/>
        </w:rPr>
        <w:t>Causa raíz.</w:t>
      </w:r>
      <w:r>
        <w:rPr/>
        <w:t xml:space="preserve"> </w:t>
      </w:r>
      <w:r>
        <w:rPr>
          <w:rFonts w:ascii="Consolas" w:hAnsi="Consolas"/>
          <w:b w:val="0"/>
          <w:color w:val="8B1E3F"/>
          <w:sz w:val="19"/>
        </w:rPr>
        <w:t>GenerateTwoFactorCode</w:t>
      </w:r>
      <w:r>
        <w:rPr/>
        <w:t xml:space="preserve"> firmaba el token temporal con el mismo secreto y la misma forma que un token de acceso (</w:t>
      </w:r>
      <w:r>
        <w:rPr>
          <w:rFonts w:ascii="Consolas" w:hAnsi="Consolas"/>
          <w:b w:val="0"/>
          <w:color w:val="8B1E3F"/>
          <w:sz w:val="19"/>
        </w:rPr>
        <w:t>{ userId, email, rememberMe }</w:t>
      </w:r>
      <w:r>
        <w:rPr/>
        <w:t xml:space="preserve">, sin </w:t>
      </w:r>
      <w:r>
        <w:rPr>
          <w:rFonts w:ascii="Consolas" w:hAnsi="Consolas"/>
          <w:b w:val="0"/>
          <w:color w:val="8B1E3F"/>
          <w:sz w:val="19"/>
        </w:rPr>
        <w:t>type</w:t>
      </w:r>
      <w:r>
        <w:rPr/>
        <w:t xml:space="preserve">), y </w:t>
      </w:r>
      <w:r>
        <w:rPr>
          <w:rFonts w:ascii="Consolas" w:hAnsi="Consolas"/>
          <w:b w:val="0"/>
          <w:color w:val="8B1E3F"/>
          <w:sz w:val="19"/>
        </w:rPr>
        <w:t>authMiddleware</w:t>
      </w:r>
      <w:r>
        <w:rPr/>
        <w:t xml:space="preserve"> / </w:t>
      </w:r>
      <w:r>
        <w:rPr>
          <w:rFonts w:ascii="Consolas" w:hAnsi="Consolas"/>
          <w:b w:val="0"/>
          <w:color w:val="8B1E3F"/>
          <w:sz w:val="19"/>
        </w:rPr>
        <w:t>adminMiddleware</w:t>
      </w:r>
      <w:r>
        <w:rPr/>
        <w:t xml:space="preserve"> aceptaban cualquier JWT con firma válida, sin distinguir su </w:t>
      </w:r>
      <w:r>
        <w:rPr>
          <w:b/>
        </w:rPr>
        <w:t>propósito</w:t>
      </w:r>
      <w:r>
        <w:rPr/>
        <w:t xml:space="preserve"> (</w:t>
      </w:r>
      <w:r>
        <w:rPr>
          <w:i/>
        </w:rPr>
        <w:t>token confusion</w:t>
      </w:r>
      <w:r>
        <w:rPr/>
        <w:t>).</w:t>
      </w:r>
    </w:p>
    <w:p>
      <w:r>
        <w:rPr>
          <w:b/>
        </w:rPr>
        <w:t>Impacto.</w:t>
      </w:r>
      <w:r>
        <w:rPr/>
        <w:t xml:space="preserve"> Anula el segundo factor: confidencialidad e integridad totales sobre el dinero de la víctima durante la vida del token (10 minutos, renovable con </w:t>
      </w:r>
      <w:r>
        <w:rPr>
          <w:rFonts w:ascii="Consolas" w:hAnsi="Consolas"/>
          <w:b w:val="0"/>
          <w:color w:val="8B1E3F"/>
          <w:sz w:val="19"/>
        </w:rPr>
        <w:t>/2fa/resend</w:t>
      </w:r>
      <w:r>
        <w:rPr/>
        <w:t>).</w:t>
      </w:r>
    </w:p>
    <w:p>
      <w:pPr>
        <w:pStyle w:val="Heading2"/>
      </w:pPr>
      <w:r>
        <w:rPr/>
        <w:t>6.3 SEC-02 — El enlace de recuperación da acceso a la API</w:t>
      </w:r>
    </w:p>
    <w:p>
      <w:r>
        <w:rPr/>
        <w:t xml:space="preserve">El token de </w:t>
      </w:r>
      <w:r>
        <w:rPr>
          <w:rFonts w:ascii="Consolas" w:hAnsi="Consolas"/>
          <w:b w:val="0"/>
          <w:color w:val="8B1E3F"/>
          <w:sz w:val="19"/>
        </w:rPr>
        <w:t>/auth/forgot-password</w:t>
      </w:r>
      <w:r>
        <w:rPr/>
        <w:t xml:space="preserve"> (</w:t>
      </w:r>
      <w:r>
        <w:rPr>
          <w:rFonts w:ascii="Consolas" w:hAnsi="Consolas"/>
          <w:b w:val="0"/>
          <w:color w:val="8B1E3F"/>
          <w:sz w:val="19"/>
        </w:rPr>
        <w:t>type: 'reset'</w:t>
      </w:r>
      <w:r>
        <w:rPr/>
        <w:t xml:space="preserve">, 5 minutos) viaja en un </w:t>
      </w:r>
      <w:r>
        <w:rPr>
          <w:b/>
        </w:rPr>
        <w:t>enlace por correo</w:t>
      </w:r>
      <w:r>
        <w:rPr/>
        <w:t xml:space="preserve">. </w:t>
      </w:r>
      <w:r>
        <w:rPr>
          <w:rFonts w:ascii="Consolas" w:hAnsi="Consolas"/>
          <w:b w:val="0"/>
          <w:color w:val="8B1E3F"/>
          <w:sz w:val="19"/>
        </w:rPr>
        <w:t>authMiddleware</w:t>
      </w:r>
      <w:r>
        <w:rPr/>
        <w:t xml:space="preserve"> lo aceptaba como token de acceso: quien obtuviera el enlace (correo comprometido, reenvío, historial o registros de un proxy) operaba la cuenta </w:t>
      </w:r>
      <w:r>
        <w:rPr>
          <w:b/>
        </w:rPr>
        <w:t>sin contraseña y sin 2FA</w:t>
      </w:r>
      <w:r>
        <w:rPr/>
        <w:t>. Misma causa raíz que SEC-01.</w:t>
      </w:r>
    </w:p>
    <w:p>
      <w:pPr>
        <w:pStyle w:val="Heading2"/>
      </w:pPr>
      <w:r>
        <w:rPr/>
        <w:t xml:space="preserve">6.4 SEC-03 y SEC-04 — </w:t>
      </w:r>
      <w:r>
        <w:rPr>
          <w:i/>
        </w:rPr>
        <w:t>Type juggling</w:t>
      </w:r>
      <w:r>
        <w:rPr/>
        <w:t xml:space="preserve"> en los montos</w:t>
      </w:r>
    </w:p>
    <w:p>
      <w:r>
        <w:rPr>
          <w:rFonts w:ascii="Consolas" w:hAnsi="Consolas"/>
          <w:b w:val="0"/>
          <w:color w:val="8B1E3F"/>
          <w:sz w:val="19"/>
        </w:rPr>
        <w:t>z.coerce.number()</w:t>
      </w:r>
      <w:r>
        <w:rPr/>
        <w:t xml:space="preserve"> (crear) y </w:t>
      </w:r>
      <w:r>
        <w:rPr>
          <w:rFonts w:ascii="Consolas" w:hAnsi="Consolas"/>
          <w:b w:val="0"/>
          <w:color w:val="8B1E3F"/>
          <w:sz w:val="19"/>
        </w:rPr>
        <w:t>Number(amount)</w:t>
      </w:r>
      <w:r>
        <w:rPr/>
        <w:t xml:space="preserve"> (depositar) convierten a la fuerza cualquier valor: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76"/>
        <w:gridCol w:w="2729"/>
        <w:gridCol w:w="2835"/>
      </w:tblGrid>
      <w:tr>
        <w:trPr>
          <w:cantSplit w:val="true"/>
          <w:tblHeader w:val="true"/>
        </w:trPr>
        <w:tc>
          <w:tcPr>
            <w:tcW w:type="dxa" w:w="307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Valor enviado</w:t>
            </w:r>
          </w:p>
        </w:tc>
        <w:tc>
          <w:tcPr>
            <w:tcW w:type="dxa" w:w="272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Crear bolsillo (antes)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Depositar (antes)</w:t>
            </w:r>
          </w:p>
        </w:tc>
      </w:tr>
      <w:tr>
        <w:trPr>
          <w:cantSplit w:val="true"/>
        </w:trPr>
        <w:tc>
          <w:tcPr>
            <w:tcW w:type="dxa" w:w="307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true</w:t>
            </w:r>
          </w:p>
        </w:tc>
        <w:tc>
          <w:tcPr>
            <w:tcW w:type="dxa" w:w="272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bolsillo de </w:t>
            </w:r>
            <w:r>
              <w:rPr>
                <w:b/>
                <w:sz w:val="19"/>
              </w:rPr>
              <w:t>$1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depósito de </w:t>
            </w:r>
            <w:r>
              <w:rPr>
                <w:b/>
                <w:sz w:val="19"/>
              </w:rPr>
              <w:t>$1</w:t>
            </w:r>
          </w:p>
        </w:tc>
      </w:tr>
      <w:tr>
        <w:trPr>
          <w:cantSplit w:val="true"/>
        </w:trPr>
        <w:tc>
          <w:tcPr>
            <w:tcW w:type="dxa" w:w="307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null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[]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""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"   "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false</w:t>
            </w:r>
          </w:p>
        </w:tc>
        <w:tc>
          <w:tcPr>
            <w:tcW w:type="dxa" w:w="272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bolsillo de </w:t>
            </w:r>
            <w:r>
              <w:rPr>
                <w:b/>
                <w:sz w:val="19"/>
              </w:rPr>
              <w:t>$0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sz w:val="19"/>
              </w:rPr>
              <w:t>rechazado (0 no es &gt; 0)</w:t>
            </w:r>
          </w:p>
        </w:tc>
      </w:tr>
      <w:tr>
        <w:trPr>
          <w:cantSplit w:val="true"/>
        </w:trPr>
        <w:tc>
          <w:tcPr>
            <w:tcW w:type="dxa" w:w="307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[1500]</w:t>
            </w:r>
          </w:p>
        </w:tc>
        <w:tc>
          <w:tcPr>
            <w:tcW w:type="dxa" w:w="272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bolsillo de </w:t>
            </w:r>
            <w:r>
              <w:rPr>
                <w:b/>
                <w:sz w:val="19"/>
              </w:rPr>
              <w:t>$1.500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depósito de </w:t>
            </w:r>
            <w:r>
              <w:rPr>
                <w:b/>
                <w:sz w:val="19"/>
              </w:rPr>
              <w:t>$1.500</w:t>
            </w:r>
          </w:p>
        </w:tc>
      </w:tr>
      <w:tr>
        <w:trPr>
          <w:cantSplit w:val="true"/>
        </w:trPr>
        <w:tc>
          <w:tcPr>
            <w:tcW w:type="dxa" w:w="307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"0x10"</w:t>
            </w:r>
          </w:p>
        </w:tc>
        <w:tc>
          <w:tcPr>
            <w:tcW w:type="dxa" w:w="272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bolsillo de </w:t>
            </w:r>
            <w:r>
              <w:rPr>
                <w:b/>
                <w:sz w:val="19"/>
              </w:rPr>
              <w:t>$16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depósito de </w:t>
            </w:r>
            <w:r>
              <w:rPr>
                <w:b/>
                <w:sz w:val="19"/>
              </w:rPr>
              <w:t>$16</w:t>
            </w:r>
          </w:p>
        </w:tc>
      </w:tr>
      <w:tr>
        <w:trPr>
          <w:cantSplit w:val="true"/>
        </w:trPr>
        <w:tc>
          <w:tcPr>
            <w:tcW w:type="dxa" w:w="307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"1e3"</w:t>
            </w:r>
          </w:p>
        </w:tc>
        <w:tc>
          <w:tcPr>
            <w:tcW w:type="dxa" w:w="272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bolsillo de </w:t>
            </w:r>
            <w:r>
              <w:rPr>
                <w:b/>
                <w:sz w:val="19"/>
              </w:rPr>
              <w:t>$1.000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depósito de </w:t>
            </w:r>
            <w:r>
              <w:rPr>
                <w:b/>
                <w:sz w:val="19"/>
              </w:rPr>
              <w:t>$1.000</w:t>
            </w:r>
          </w:p>
        </w:tc>
      </w:tr>
    </w:tbl>
    <w:p>
      <w:pPr>
        <w:spacing w:after="40"/>
      </w:pPr>
    </w:p>
    <w:p>
      <w:r>
        <w:rPr/>
        <w:t>Un monto que no es un número se interpreta en silencio como otra cantidad. Es una falla de integridad de la validación: los controles de cliente o de un WAF que miren el valor original no coinciden con lo que procesa el servidor.</w:t>
      </w:r>
    </w:p>
    <w:p>
      <w:pPr>
        <w:pStyle w:val="Heading2"/>
      </w:pPr>
      <w:r>
        <w:rPr/>
        <w:t>6.5 Hallazgos abiertos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8"/>
        <w:gridCol w:w="5993"/>
        <w:gridCol w:w="1429"/>
      </w:tblGrid>
      <w:tr>
        <w:trPr>
          <w:cantSplit w:val="true"/>
          <w:tblHeader w:val="true"/>
        </w:trPr>
        <w:tc>
          <w:tcPr>
            <w:tcW w:type="dxa" w:w="1218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599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Recomendación</w:t>
            </w:r>
          </w:p>
        </w:tc>
        <w:tc>
          <w:tcPr>
            <w:tcW w:type="dxa" w:w="142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Esfuerzo</w:t>
            </w:r>
          </w:p>
        </w:tc>
      </w:tr>
      <w:tr>
        <w:trPr>
          <w:cantSplit w:val="true"/>
        </w:trPr>
        <w:tc>
          <w:tcPr>
            <w:tcW w:type="dxa" w:w="1218"/>
          </w:tcPr>
          <w:p>
            <w:pPr>
              <w:spacing w:after="0"/>
              <w:jc w:val="left"/>
            </w:pPr>
            <w:r>
              <w:rPr>
                <w:sz w:val="19"/>
              </w:rPr>
              <w:t>SEC-05</w:t>
            </w:r>
          </w:p>
        </w:tc>
        <w:tc>
          <w:tcPr>
            <w:tcW w:type="dxa" w:w="5993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Rechazar montos que no sean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Number.isSafeInteger</w:t>
            </w:r>
            <w:r>
              <w:rPr>
                <w:sz w:val="19"/>
              </w:rPr>
              <w:t xml:space="preserve"> (o modelar el dinero en centavos enteros /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bigint</w:t>
            </w:r>
            <w:r>
              <w:rPr>
                <w:sz w:val="19"/>
              </w:rPr>
              <w:t xml:space="preserve"> / decimal) y fijar un tope de negocio por operación.</w:t>
            </w:r>
          </w:p>
        </w:tc>
        <w:tc>
          <w:tcPr>
            <w:tcW w:type="dxa" w:w="1429"/>
          </w:tcPr>
          <w:p>
            <w:pPr>
              <w:spacing w:after="0"/>
              <w:jc w:val="left"/>
            </w:pPr>
            <w:r>
              <w:rPr>
                <w:sz w:val="19"/>
              </w:rPr>
              <w:t>Bajo</w:t>
            </w:r>
          </w:p>
        </w:tc>
      </w:tr>
      <w:tr>
        <w:trPr>
          <w:cantSplit w:val="true"/>
        </w:trPr>
        <w:tc>
          <w:tcPr>
            <w:tcW w:type="dxa" w:w="1218"/>
          </w:tcPr>
          <w:p>
            <w:pPr>
              <w:spacing w:after="0"/>
              <w:jc w:val="left"/>
            </w:pPr>
            <w:r>
              <w:rPr>
                <w:sz w:val="19"/>
              </w:rPr>
              <w:t>SEC-06</w:t>
            </w:r>
          </w:p>
        </w:tc>
        <w:tc>
          <w:tcPr>
            <w:tcW w:type="dxa" w:w="5993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En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errorHandler</w:t>
            </w:r>
            <w:r>
              <w:rPr>
                <w:sz w:val="19"/>
              </w:rPr>
              <w:t xml:space="preserve">, mapear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SyntaxError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type === 'entity.parse.failed'</w:t>
            </w:r>
            <w:r>
              <w:rPr>
                <w:sz w:val="19"/>
              </w:rPr>
              <w:t xml:space="preserve"> a </w:t>
            </w:r>
            <w:r>
              <w:rPr>
                <w:b/>
                <w:sz w:val="19"/>
              </w:rPr>
              <w:t>400</w:t>
            </w:r>
            <w:r>
              <w:rPr>
                <w:sz w:val="19"/>
              </w:rPr>
              <w:t>.</w:t>
            </w:r>
          </w:p>
        </w:tc>
        <w:tc>
          <w:tcPr>
            <w:tcW w:type="dxa" w:w="1429"/>
          </w:tcPr>
          <w:p>
            <w:pPr>
              <w:spacing w:after="0"/>
              <w:jc w:val="left"/>
            </w:pPr>
            <w:r>
              <w:rPr>
                <w:sz w:val="19"/>
              </w:rPr>
              <w:t>Bajo</w:t>
            </w:r>
          </w:p>
        </w:tc>
      </w:tr>
      <w:tr>
        <w:trPr>
          <w:cantSplit w:val="true"/>
        </w:trPr>
        <w:tc>
          <w:tcPr>
            <w:tcW w:type="dxa" w:w="1218"/>
          </w:tcPr>
          <w:p>
            <w:pPr>
              <w:spacing w:after="0"/>
              <w:jc w:val="left"/>
            </w:pPr>
            <w:r>
              <w:rPr>
                <w:sz w:val="19"/>
              </w:rPr>
              <w:t>SEC-07</w:t>
            </w:r>
          </w:p>
        </w:tc>
        <w:tc>
          <w:tcPr>
            <w:tcW w:type="dxa" w:w="5993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Mapear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type === 'entity.too.large'</w:t>
            </w:r>
            <w:r>
              <w:rPr>
                <w:sz w:val="19"/>
              </w:rPr>
              <w:t xml:space="preserve"> a </w:t>
            </w:r>
            <w:r>
              <w:rPr>
                <w:b/>
                <w:sz w:val="19"/>
              </w:rPr>
              <w:t>413</w:t>
            </w:r>
            <w:r>
              <w:rPr>
                <w:sz w:val="19"/>
              </w:rPr>
              <w:t>. Ambos evitan además registrar errores del cliente como "Unexpected error".</w:t>
            </w:r>
          </w:p>
        </w:tc>
        <w:tc>
          <w:tcPr>
            <w:tcW w:type="dxa" w:w="1429"/>
          </w:tcPr>
          <w:p>
            <w:pPr>
              <w:spacing w:after="0"/>
              <w:jc w:val="left"/>
            </w:pPr>
            <w:r>
              <w:rPr>
                <w:sz w:val="19"/>
              </w:rPr>
              <w:t>Bajo</w:t>
            </w:r>
          </w:p>
        </w:tc>
      </w:tr>
      <w:tr>
        <w:trPr>
          <w:cantSplit w:val="true"/>
        </w:trPr>
        <w:tc>
          <w:tcPr>
            <w:tcW w:type="dxa" w:w="1218"/>
          </w:tcPr>
          <w:p>
            <w:pPr>
              <w:spacing w:after="0"/>
              <w:jc w:val="left"/>
            </w:pPr>
            <w:r>
              <w:rPr>
                <w:sz w:val="19"/>
              </w:rPr>
              <w:t>SEC-08</w:t>
            </w:r>
          </w:p>
        </w:tc>
        <w:tc>
          <w:tcPr>
            <w:tcW w:type="dxa" w:w="5993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Aplicar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createRateLimiter</w:t>
            </w:r>
            <w:r>
              <w:rPr>
                <w:sz w:val="19"/>
              </w:rPr>
              <w:t xml:space="preserve"> (el mismo de Créditos y login) a las rutas de Bolsillos y depósito, con clave por usuario.</w:t>
            </w:r>
          </w:p>
        </w:tc>
        <w:tc>
          <w:tcPr>
            <w:tcW w:type="dxa" w:w="1429"/>
          </w:tcPr>
          <w:p>
            <w:pPr>
              <w:spacing w:after="0"/>
              <w:jc w:val="left"/>
            </w:pPr>
            <w:r>
              <w:rPr>
                <w:sz w:val="19"/>
              </w:rPr>
              <w:t>Bajo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6.6 Observaciones (no son vulnerabilidades confirmadas)</w:t>
      </w:r>
    </w:p>
    <w:p>
      <w:pPr>
        <w:pStyle w:val="ListBullet"/>
        <w:spacing w:after="60"/>
      </w:pPr>
      <w:r>
        <w:rPr>
          <w:b/>
        </w:rPr>
        <w:t>Enumeración por 403/404.</w:t>
      </w:r>
      <w:r>
        <w:rPr/>
        <w:t xml:space="preserve"> Un bolsillo ajeno responde 403 y uno inexistente 404, lo que revela si un id existe. Los ids son UUID v4 (no adivinables), así que el riesgo es bajo.</w:t>
      </w:r>
    </w:p>
    <w:p>
      <w:pPr>
        <w:pStyle w:val="ListBullet"/>
        <w:spacing w:after="60"/>
      </w:pPr>
      <w:r>
        <w:rPr>
          <w:b/>
        </w:rPr>
        <w:t>Dinero en coma flotante.</w:t>
      </w:r>
      <w:r>
        <w:rPr/>
        <w:t xml:space="preserve"> Los montos son </w:t>
      </w:r>
      <w:r>
        <w:rPr>
          <w:rFonts w:ascii="Consolas" w:hAnsi="Consolas"/>
          <w:b w:val="0"/>
          <w:color w:val="8B1E3F"/>
          <w:sz w:val="19"/>
        </w:rPr>
        <w:t>number</w:t>
      </w:r>
      <w:r>
        <w:rPr/>
        <w:t xml:space="preserve"> de JavaScript; para dinero se recomienda enteros en la unidad mínima.</w:t>
      </w:r>
    </w:p>
    <w:p>
      <w:pPr>
        <w:pStyle w:val="ListBullet"/>
        <w:spacing w:after="60"/>
      </w:pPr>
      <w:r>
        <w:rPr>
          <w:rFonts w:ascii="Consolas" w:hAnsi="Consolas"/>
          <w:b/>
          <w:color w:val="8B1E3F"/>
          <w:sz w:val="19"/>
        </w:rPr>
        <w:t>VerifyTwoFactorCode</w:t>
      </w:r>
      <w:r>
        <w:rPr>
          <w:b/>
        </w:rPr>
        <w:t xml:space="preserve"> y </w:t>
      </w:r>
      <w:r>
        <w:rPr>
          <w:rFonts w:ascii="Consolas" w:hAnsi="Consolas"/>
          <w:b/>
          <w:color w:val="8B1E3F"/>
          <w:sz w:val="19"/>
        </w:rPr>
        <w:t>ResendTwoFactorCode</w:t>
      </w:r>
      <w:r>
        <w:rPr/>
        <w:t xml:space="preserve"> no exigen </w:t>
      </w:r>
      <w:r>
        <w:rPr>
          <w:rFonts w:ascii="Consolas" w:hAnsi="Consolas"/>
          <w:b w:val="0"/>
          <w:color w:val="8B1E3F"/>
          <w:sz w:val="19"/>
        </w:rPr>
        <w:t>type === '2fa'</w:t>
      </w:r>
      <w:r>
        <w:rPr/>
        <w:t xml:space="preserve"> en el token que reciben. Con el refactor un token de acceso ya no sirve de atajo hacia el login, pero exigirlo cerraría el último caso de </w:t>
      </w:r>
      <w:r>
        <w:rPr>
          <w:i/>
        </w:rPr>
        <w:t>token confusion</w:t>
      </w:r>
      <w:r>
        <w:rPr/>
        <w:t>.</w:t>
      </w:r>
    </w:p>
    <w:p>
      <w:pPr>
        <w:pStyle w:val="ListBullet"/>
        <w:spacing w:after="60"/>
      </w:pPr>
      <w:r>
        <w:rPr>
          <w:rFonts w:ascii="Consolas" w:hAnsi="Consolas"/>
          <w:b/>
          <w:color w:val="8B1E3F"/>
          <w:sz w:val="19"/>
        </w:rPr>
        <w:t>WithdrawMoney</w:t>
      </w:r>
      <w:r>
        <w:rPr/>
        <w:t xml:space="preserve"> (módulo de otro compañero) usa el mismo patrón </w:t>
      </w:r>
      <w:r>
        <w:rPr>
          <w:rFonts w:ascii="Consolas" w:hAnsi="Consolas"/>
          <w:b w:val="0"/>
          <w:color w:val="8B1E3F"/>
          <w:sz w:val="19"/>
        </w:rPr>
        <w:t>Number(amount)</w:t>
      </w:r>
      <w:r>
        <w:rPr/>
        <w:t xml:space="preserve"> que tenía SEC-04; se recomienda reutilizar </w:t>
      </w:r>
      <w:r>
        <w:rPr>
          <w:rFonts w:ascii="Consolas" w:hAnsi="Consolas"/>
          <w:b w:val="0"/>
          <w:color w:val="8B1E3F"/>
          <w:sz w:val="19"/>
        </w:rPr>
        <w:t>parseStrictAmount</w:t>
      </w:r>
      <w:r>
        <w:rPr/>
        <w:t>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7. Corrección aplicada (refactor)</w:t>
      </w:r>
    </w:p>
    <w:p>
      <w:pPr>
        <w:pStyle w:val="Heading2"/>
      </w:pPr>
      <w:r>
        <w:rPr/>
        <w:t>7.1 SEC-01 y SEC-02 — Tokens con propósito y verificación por lista blanca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// presentation/middlewares/accessToken.ts (nuevo)</w:t>
        <w:br/>
      </w:r>
      <w:r>
        <w:rPr>
          <w:rFonts w:ascii="Consolas" w:hAnsi="Consolas" w:eastAsia="Consolas"/>
          <w:sz w:val="17"/>
        </w:rPr>
        <w:t>export function isAccessToken(payload: TokenPayload): boolean {</w:t>
        <w:br/>
      </w:r>
      <w:r>
        <w:rPr>
          <w:rFonts w:ascii="Consolas" w:hAnsi="Consolas" w:eastAsia="Consolas"/>
          <w:sz w:val="17"/>
        </w:rPr>
        <w:t xml:space="preserve">  return payload.type === undefined || payload.type === 'auth';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t xml:space="preserve"> </w:t>
        <w:br/>
      </w:r>
      <w:r>
        <w:rPr>
          <w:rFonts w:ascii="Consolas" w:hAnsi="Consolas" w:eastAsia="Consolas"/>
          <w:sz w:val="17"/>
        </w:rPr>
        <w:t>// authMiddleware.ts y adminMiddleware.ts, tras verificar la firma</w:t>
        <w:br/>
      </w:r>
      <w:r>
        <w:rPr>
          <w:rFonts w:ascii="Consolas" w:hAnsi="Consolas" w:eastAsia="Consolas"/>
          <w:sz w:val="17"/>
        </w:rPr>
        <w:t>if (!isAccessToken(payload)) {</w:t>
        <w:br/>
      </w:r>
      <w:r>
        <w:rPr>
          <w:rFonts w:ascii="Consolas" w:hAnsi="Consolas" w:eastAsia="Consolas"/>
          <w:sz w:val="17"/>
        </w:rPr>
        <w:t xml:space="preserve">  sendError(res, 'Token inválido', 'TOKEN_INVALID', 401);</w:t>
        <w:br/>
      </w:r>
      <w:r>
        <w:rPr>
          <w:rFonts w:ascii="Consolas" w:hAnsi="Consolas" w:eastAsia="Consolas"/>
          <w:sz w:val="17"/>
        </w:rPr>
        <w:t xml:space="preserve">  return;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t xml:space="preserve"> </w:t>
        <w:br/>
      </w:r>
      <w:r>
        <w:rPr>
          <w:rFonts w:ascii="Consolas" w:hAnsi="Consolas" w:eastAsia="Consolas"/>
          <w:sz w:val="17"/>
        </w:rPr>
        <w:t>// GenerateTwoFactorCode.ts: el token temporal declara su propósito</w:t>
        <w:br/>
      </w:r>
      <w:r>
        <w:rPr>
          <w:rFonts w:ascii="Consolas" w:hAnsi="Consolas" w:eastAsia="Consolas"/>
          <w:sz w:val="17"/>
        </w:rPr>
        <w:t>this.tokenService.generate({ userId, email, rememberMe, type: '2fa' }, { expiresIn: … });</w:t>
      </w:r>
    </w:p>
    <w:p>
      <w:r>
        <w:rPr>
          <w:b/>
        </w:rPr>
        <w:t>Decisiones de diseño.</w:t>
      </w:r>
    </w:p>
    <w:p>
      <w:pPr>
        <w:pStyle w:val="ListBullet"/>
        <w:spacing w:after="60"/>
      </w:pPr>
      <w:r>
        <w:rPr>
          <w:b/>
        </w:rPr>
        <w:t>Lista blanca, no lista negra:</w:t>
      </w:r>
      <w:r>
        <w:rPr/>
        <w:t xml:space="preserve"> solo los tokens sin tipo o </w:t>
      </w:r>
      <w:r>
        <w:rPr>
          <w:rFonts w:ascii="Consolas" w:hAnsi="Consolas"/>
          <w:b w:val="0"/>
          <w:color w:val="8B1E3F"/>
          <w:sz w:val="19"/>
        </w:rPr>
        <w:t>'auth'</w:t>
      </w:r>
      <w:r>
        <w:rPr/>
        <w:t xml:space="preserve"> dan acceso; cualquier tipo futuro queda rechazado por defecto.</w:t>
      </w:r>
    </w:p>
    <w:p>
      <w:pPr>
        <w:pStyle w:val="ListBullet"/>
        <w:spacing w:after="60"/>
      </w:pPr>
      <w:r>
        <w:rPr>
          <w:b/>
        </w:rPr>
        <w:t>Compatibilidad:</w:t>
      </w:r>
      <w:r>
        <w:rPr/>
        <w:t xml:space="preserve"> los tokens de acceso existentes no tienen </w:t>
      </w:r>
      <w:r>
        <w:rPr>
          <w:rFonts w:ascii="Consolas" w:hAnsi="Consolas"/>
          <w:b w:val="0"/>
          <w:color w:val="8B1E3F"/>
          <w:sz w:val="19"/>
        </w:rPr>
        <w:t>type</w:t>
      </w:r>
      <w:r>
        <w:rPr/>
        <w:t xml:space="preserve">, así que nadie pierde la sesión. </w:t>
      </w:r>
      <w:r>
        <w:rPr>
          <w:rFonts w:ascii="Consolas" w:hAnsi="Consolas"/>
          <w:b w:val="0"/>
          <w:color w:val="8B1E3F"/>
          <w:sz w:val="19"/>
        </w:rPr>
        <w:t>/auth/2fa/verify</w:t>
      </w:r>
      <w:r>
        <w:rPr/>
        <w:t xml:space="preserve"> y </w:t>
      </w:r>
      <w:r>
        <w:rPr>
          <w:rFonts w:ascii="Consolas" w:hAnsi="Consolas"/>
          <w:b w:val="0"/>
          <w:color w:val="8B1E3F"/>
          <w:sz w:val="19"/>
        </w:rPr>
        <w:t>/auth/2fa/resend</w:t>
      </w:r>
      <w:r>
        <w:rPr/>
        <w:t xml:space="preserve"> reciben el token temporal en el body y </w:t>
      </w:r>
      <w:r>
        <w:rPr>
          <w:b/>
        </w:rPr>
        <w:t xml:space="preserve">no usan </w:t>
      </w:r>
      <w:r>
        <w:rPr>
          <w:rFonts w:ascii="Consolas" w:hAnsi="Consolas"/>
          <w:b/>
          <w:color w:val="8B1E3F"/>
          <w:sz w:val="19"/>
        </w:rPr>
        <w:t>authMiddleware</w:t>
      </w:r>
      <w:r>
        <w:rPr/>
        <w:t xml:space="preserve">, por lo que el login con 2FA funciona igual. El reset ya exigía </w:t>
      </w:r>
      <w:r>
        <w:rPr>
          <w:rFonts w:ascii="Consolas" w:hAnsi="Consolas"/>
          <w:b w:val="0"/>
          <w:color w:val="8B1E3F"/>
          <w:sz w:val="19"/>
        </w:rPr>
        <w:t>type === 'reset'</w:t>
      </w:r>
      <w:r>
        <w:rPr/>
        <w:t xml:space="preserve"> en su propio flujo.</w:t>
      </w:r>
    </w:p>
    <w:p>
      <w:pPr>
        <w:pStyle w:val="ListBullet"/>
        <w:spacing w:after="60"/>
      </w:pPr>
      <w:r>
        <w:rPr>
          <w:b/>
        </w:rPr>
        <w:t>Un solo criterio:</w:t>
      </w:r>
      <w:r>
        <w:rPr/>
        <w:t xml:space="preserve"> la misma función protege </w:t>
      </w:r>
      <w:r>
        <w:rPr>
          <w:rFonts w:ascii="Consolas" w:hAnsi="Consolas"/>
          <w:b w:val="0"/>
          <w:color w:val="8B1E3F"/>
          <w:sz w:val="19"/>
        </w:rPr>
        <w:t>authMiddleware</w:t>
      </w:r>
      <w:r>
        <w:rPr/>
        <w:t xml:space="preserve"> y </w:t>
      </w:r>
      <w:r>
        <w:rPr>
          <w:rFonts w:ascii="Consolas" w:hAnsi="Consolas"/>
          <w:b w:val="0"/>
          <w:color w:val="8B1E3F"/>
          <w:sz w:val="19"/>
        </w:rPr>
        <w:t>adminMiddleware</w:t>
      </w:r>
      <w:r>
        <w:rPr/>
        <w:t>.</w:t>
      </w:r>
    </w:p>
    <w:p>
      <w:pPr>
        <w:pStyle w:val="Heading2"/>
      </w:pPr>
      <w:r>
        <w:rPr/>
        <w:t>7.2 SEC-03 y SEC-04 — Monto estricto compartido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// presentation/validators/amount.validators.ts (nuevo)</w:t>
        <w:br/>
      </w:r>
      <w:r>
        <w:rPr>
          <w:rFonts w:ascii="Consolas" w:hAnsi="Consolas" w:eastAsia="Consolas"/>
          <w:sz w:val="17"/>
        </w:rPr>
        <w:t>const DECIMAL_TEXT = /^-?\d+(\.\d+)?$/;</w:t>
        <w:br/>
      </w:r>
      <w:r>
        <w:rPr>
          <w:rFonts w:ascii="Consolas" w:hAnsi="Consolas" w:eastAsia="Consolas"/>
          <w:sz w:val="17"/>
        </w:rPr>
        <w:t>export function parseStrictAmount(raw: unknown): number {</w:t>
        <w:br/>
      </w:r>
      <w:r>
        <w:rPr>
          <w:rFonts w:ascii="Consolas" w:hAnsi="Consolas" w:eastAsia="Consolas"/>
          <w:sz w:val="17"/>
        </w:rPr>
        <w:t xml:space="preserve">  if (typeof raw === 'number') return raw;</w:t>
        <w:br/>
      </w:r>
      <w:r>
        <w:rPr>
          <w:rFonts w:ascii="Consolas" w:hAnsi="Consolas" w:eastAsia="Consolas"/>
          <w:sz w:val="17"/>
        </w:rPr>
        <w:t xml:space="preserve">  if (typeof raw === 'string' &amp;&amp; DECIMAL_TEXT.test(raw.trim())) return Number(raw.trim());</w:t>
        <w:br/>
      </w:r>
      <w:r>
        <w:rPr>
          <w:rFonts w:ascii="Consolas" w:hAnsi="Consolas" w:eastAsia="Consolas"/>
          <w:sz w:val="17"/>
        </w:rPr>
        <w:t xml:space="preserve">  return Number.NaN;           // el caso de uso lo rechaza como monto inválido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t>export const strictAmount = (msg: string) =&gt;</w:t>
        <w:br/>
      </w:r>
      <w:r>
        <w:rPr>
          <w:rFonts w:ascii="Consolas" w:hAnsi="Consolas" w:eastAsia="Consolas"/>
          <w:sz w:val="17"/>
        </w:rPr>
        <w:t xml:space="preserve">  z.preprocess((raw) =&gt; (typeof raw === 'string' ? parseStrictAmount(raw) : raw),</w:t>
        <w:br/>
      </w:r>
      <w:r>
        <w:rPr>
          <w:rFonts w:ascii="Consolas" w:hAnsi="Consolas" w:eastAsia="Consolas"/>
          <w:sz w:val="17"/>
        </w:rPr>
        <w:t xml:space="preserve">               z.number({ error: 'El monto debe ser un número' }).min(0, msg));</w:t>
      </w:r>
    </w:p>
    <w:p>
      <w:pPr>
        <w:pStyle w:val="ListBullet"/>
        <w:spacing w:after="60"/>
      </w:pPr>
      <w:r>
        <w:rPr/>
        <w:t xml:space="preserve">Crear bolsillo: </w:t>
      </w:r>
      <w:r>
        <w:rPr>
          <w:rFonts w:ascii="Consolas" w:hAnsi="Consolas"/>
          <w:b w:val="0"/>
          <w:color w:val="8B1E3F"/>
          <w:sz w:val="19"/>
        </w:rPr>
        <w:t>amount: strictAmount('El monto del bolsillo no puede ser negativo')</w:t>
      </w:r>
      <w:r>
        <w:rPr/>
        <w:t>.</w:t>
      </w:r>
    </w:p>
    <w:p>
      <w:pPr>
        <w:pStyle w:val="ListBullet"/>
        <w:spacing w:after="60"/>
      </w:pPr>
      <w:r>
        <w:rPr/>
        <w:t xml:space="preserve">Depositar: </w:t>
      </w:r>
      <w:r>
        <w:rPr>
          <w:rFonts w:ascii="Consolas" w:hAnsi="Consolas"/>
          <w:b w:val="0"/>
          <w:color w:val="8B1E3F"/>
          <w:sz w:val="19"/>
        </w:rPr>
        <w:t>amount: parseStrictAmount(amount)</w:t>
      </w:r>
      <w:r>
        <w:rPr/>
        <w:t xml:space="preserve"> en lugar de </w:t>
      </w:r>
      <w:r>
        <w:rPr>
          <w:rFonts w:ascii="Consolas" w:hAnsi="Consolas"/>
          <w:b w:val="0"/>
          <w:color w:val="8B1E3F"/>
          <w:sz w:val="19"/>
        </w:rPr>
        <w:t>Number(amount)</w:t>
      </w:r>
      <w:r>
        <w:rPr/>
        <w:t>.</w:t>
      </w:r>
    </w:p>
    <w:p>
      <w:pPr>
        <w:pStyle w:val="ListBullet"/>
        <w:spacing w:after="60"/>
      </w:pPr>
      <w:r>
        <w:rPr>
          <w:b/>
        </w:rPr>
        <w:t>Se conserva el contrato</w:t>
      </w:r>
      <w:r>
        <w:rPr/>
        <w:t>: los textos decimales (</w:t>
      </w:r>
      <w:r>
        <w:rPr>
          <w:rFonts w:ascii="Consolas" w:hAnsi="Consolas"/>
          <w:b w:val="0"/>
          <w:color w:val="8B1E3F"/>
          <w:sz w:val="19"/>
        </w:rPr>
        <w:t>"150000"</w:t>
      </w:r>
      <w:r>
        <w:rPr/>
        <w:t>) siguen aceptándose y los errores mantienen sus códigos y mensajes (</w:t>
      </w:r>
      <w:r>
        <w:rPr>
          <w:rFonts w:ascii="Consolas" w:hAnsi="Consolas"/>
          <w:b w:val="0"/>
          <w:color w:val="8B1E3F"/>
          <w:sz w:val="19"/>
        </w:rPr>
        <w:t>VALIDATION_ERROR</w:t>
      </w:r>
      <w:r>
        <w:rPr/>
        <w:t xml:space="preserve">, </w:t>
      </w:r>
      <w:r>
        <w:rPr>
          <w:rFonts w:ascii="Consolas" w:hAnsi="Consolas"/>
          <w:b w:val="0"/>
          <w:color w:val="8B1E3F"/>
          <w:sz w:val="19"/>
        </w:rPr>
        <w:t>INVALID_AMOUNT</w:t>
      </w:r>
      <w:r>
        <w:rPr/>
        <w:t>). La regresión lo confirma.</w:t>
      </w:r>
    </w:p>
    <w:p>
      <w:pPr>
        <w:pStyle w:val="Heading2"/>
      </w:pPr>
      <w:r>
        <w:rPr/>
        <w:t>7.3 Archivos de producción modificados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0"/>
        <w:gridCol w:w="3620"/>
      </w:tblGrid>
      <w:tr>
        <w:trPr>
          <w:cantSplit w:val="true"/>
          <w:tblHeader w:val="true"/>
        </w:trPr>
        <w:tc>
          <w:tcPr>
            <w:tcW w:type="dxa" w:w="502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Archivo</w:t>
            </w:r>
          </w:p>
        </w:tc>
        <w:tc>
          <w:tcPr>
            <w:tcW w:type="dxa" w:w="362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Cambio</w:t>
            </w:r>
          </w:p>
        </w:tc>
      </w:tr>
      <w:tr>
        <w:trPr>
          <w:cantSplit w:val="true"/>
        </w:trPr>
        <w:tc>
          <w:tcPr>
            <w:tcW w:type="dxa" w:w="502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presentation/middlewares/accessToken.ts</w:t>
            </w:r>
          </w:p>
        </w:tc>
        <w:tc>
          <w:tcPr>
            <w:tcW w:type="dxa" w:w="362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Nuevo: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isAccessToken</w:t>
            </w:r>
          </w:p>
        </w:tc>
      </w:tr>
      <w:tr>
        <w:trPr>
          <w:cantSplit w:val="true"/>
        </w:trPr>
        <w:tc>
          <w:tcPr>
            <w:tcW w:type="dxa" w:w="502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presentation/middlewares/authMiddleware.ts</w:t>
            </w:r>
          </w:p>
        </w:tc>
        <w:tc>
          <w:tcPr>
            <w:tcW w:type="dxa" w:w="3620"/>
          </w:tcPr>
          <w:p>
            <w:pPr>
              <w:spacing w:after="0"/>
              <w:jc w:val="left"/>
            </w:pPr>
            <w:r>
              <w:rPr>
                <w:sz w:val="19"/>
              </w:rPr>
              <w:t>Rechaza tokens que no son de acceso</w:t>
            </w:r>
          </w:p>
        </w:tc>
      </w:tr>
      <w:tr>
        <w:trPr>
          <w:cantSplit w:val="true"/>
        </w:trPr>
        <w:tc>
          <w:tcPr>
            <w:tcW w:type="dxa" w:w="502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presentation/middlewares/adminMiddleware.ts</w:t>
            </w:r>
          </w:p>
        </w:tc>
        <w:tc>
          <w:tcPr>
            <w:tcW w:type="dxa" w:w="3620"/>
          </w:tcPr>
          <w:p>
            <w:pPr>
              <w:spacing w:after="0"/>
              <w:jc w:val="left"/>
            </w:pPr>
            <w:r>
              <w:rPr>
                <w:sz w:val="19"/>
              </w:rPr>
              <w:t>Ídem</w:t>
            </w:r>
          </w:p>
        </w:tc>
      </w:tr>
      <w:tr>
        <w:trPr>
          <w:cantSplit w:val="true"/>
        </w:trPr>
        <w:tc>
          <w:tcPr>
            <w:tcW w:type="dxa" w:w="502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application/use-cases/auth/GenerateTwoFactorCode.ts</w:t>
            </w:r>
          </w:p>
        </w:tc>
        <w:tc>
          <w:tcPr>
            <w:tcW w:type="dxa" w:w="362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Token temporal con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type: '2fa'</w:t>
            </w:r>
          </w:p>
        </w:tc>
      </w:tr>
      <w:tr>
        <w:trPr>
          <w:cantSplit w:val="true"/>
        </w:trPr>
        <w:tc>
          <w:tcPr>
            <w:tcW w:type="dxa" w:w="502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presentation/validators/amount.validators.ts</w:t>
            </w:r>
          </w:p>
        </w:tc>
        <w:tc>
          <w:tcPr>
            <w:tcW w:type="dxa" w:w="362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Nuevo: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parseStrictAmount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strictAmount</w:t>
            </w:r>
          </w:p>
        </w:tc>
      </w:tr>
      <w:tr>
        <w:trPr>
          <w:cantSplit w:val="true"/>
        </w:trPr>
        <w:tc>
          <w:tcPr>
            <w:tcW w:type="dxa" w:w="502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presentation/validators/pocket.validators.ts</w:t>
            </w:r>
          </w:p>
        </w:tc>
        <w:tc>
          <w:tcPr>
            <w:tcW w:type="dxa" w:w="362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createPocketSchema</w:t>
            </w:r>
            <w:r>
              <w:rPr>
                <w:sz w:val="19"/>
              </w:rPr>
              <w:t xml:space="preserve"> usa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strictAmount</w:t>
            </w:r>
          </w:p>
        </w:tc>
      </w:tr>
      <w:tr>
        <w:trPr>
          <w:cantSplit w:val="true"/>
        </w:trPr>
        <w:tc>
          <w:tcPr>
            <w:tcW w:type="dxa" w:w="502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presentation/controllers/AccountController.ts</w:t>
            </w:r>
          </w:p>
        </w:tc>
        <w:tc>
          <w:tcPr>
            <w:tcW w:type="dxa" w:w="362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El depósito usa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parseStrictAmount</w:t>
            </w:r>
          </w:p>
        </w:tc>
      </w:tr>
    </w:tbl>
    <w:p>
      <w:pPr>
        <w:spacing w:after="40"/>
      </w:pPr>
    </w:p>
    <w:p>
      <w:pPr>
        <w:ind w:left="216"/>
        <w:shd w:val="clear" w:color="auto" w:fill="FFF8E5"/>
        <w:pBdr>
          <w:left w:val="single" w:sz="18" w:space="6" w:color="E0A800"/>
        </w:pBdr>
      </w:pPr>
      <w:r>
        <w:rPr/>
        <w:t xml:space="preserve">El cambio toca autenticación (módulo de otro integrante del equipo) y afecta a toda la app. Se ejecutaron </w:t>
      </w:r>
      <w:r>
        <w:rPr>
          <w:b/>
        </w:rPr>
        <w:t>todas</w:t>
      </w:r>
      <w:r>
        <w:rPr/>
        <w:t xml:space="preserve"> las suites del backend y del frontend sin regresiones; se señala en el PR.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8. Resultados y evidencia</w:t>
      </w:r>
    </w:p>
    <w:p>
      <w:pPr>
        <w:pStyle w:val="Heading2"/>
      </w:pPr>
      <w:r>
        <w:rPr/>
        <w:t>8.1 Antes y después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5"/>
        <w:gridCol w:w="1902"/>
        <w:gridCol w:w="3343"/>
      </w:tblGrid>
      <w:tr>
        <w:trPr>
          <w:cantSplit w:val="true"/>
          <w:tblHeader w:val="true"/>
        </w:trPr>
        <w:tc>
          <w:tcPr>
            <w:tcW w:type="dxa" w:w="3395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Suite</w:t>
            </w:r>
          </w:p>
        </w:tc>
        <w:tc>
          <w:tcPr>
            <w:tcW w:type="dxa" w:w="1902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Antes</w:t>
            </w:r>
          </w:p>
        </w:tc>
        <w:tc>
          <w:tcPr>
            <w:tcW w:type="dxa" w:w="334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Después</w:t>
            </w:r>
          </w:p>
        </w:tc>
      </w:tr>
      <w:tr>
        <w:trPr>
          <w:cantSplit w:val="true"/>
        </w:trPr>
        <w:tc>
          <w:tcPr>
            <w:tcW w:type="dxa" w:w="3395"/>
          </w:tcPr>
          <w:p>
            <w:pPr>
              <w:spacing w:after="0"/>
              <w:jc w:val="left"/>
            </w:pPr>
            <w:r>
              <w:rPr>
                <w:sz w:val="19"/>
              </w:rPr>
              <w:t>Security de Bolsillos (backend)</w:t>
            </w:r>
          </w:p>
        </w:tc>
        <w:tc>
          <w:tcPr>
            <w:tcW w:type="dxa" w:w="190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117 ✅ + 37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it.fails</w:t>
            </w:r>
          </w:p>
        </w:tc>
        <w:tc>
          <w:tcPr>
            <w:tcW w:type="dxa" w:w="3343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 xml:space="preserve">144 ✅ + 10 </w:t>
            </w:r>
            <w:r>
              <w:rPr>
                <w:rFonts w:ascii="Consolas" w:hAnsi="Consolas"/>
                <w:b/>
                <w:color w:val="8B1E3F"/>
                <w:sz w:val="17"/>
              </w:rPr>
              <w:t>it.fails</w:t>
            </w:r>
          </w:p>
        </w:tc>
      </w:tr>
      <w:tr>
        <w:trPr>
          <w:cantSplit w:val="true"/>
        </w:trPr>
        <w:tc>
          <w:tcPr>
            <w:tcW w:type="dxa" w:w="3395"/>
          </w:tcPr>
          <w:p>
            <w:pPr>
              <w:spacing w:after="0"/>
              <w:jc w:val="left"/>
            </w:pPr>
            <w:r>
              <w:rPr>
                <w:sz w:val="19"/>
              </w:rPr>
              <w:t>Security de Bolsillos (frontend, SEC-OUT-01)</w:t>
            </w:r>
          </w:p>
        </w:tc>
        <w:tc>
          <w:tcPr>
            <w:tcW w:type="dxa" w:w="1902"/>
          </w:tcPr>
          <w:p>
            <w:pPr>
              <w:spacing w:after="0"/>
              <w:jc w:val="left"/>
            </w:pPr>
            <w:r>
              <w:rPr>
                <w:sz w:val="19"/>
              </w:rPr>
              <w:t>4 ✅</w:t>
            </w:r>
          </w:p>
        </w:tc>
        <w:tc>
          <w:tcPr>
            <w:tcW w:type="dxa" w:w="3343"/>
          </w:tcPr>
          <w:p>
            <w:pPr>
              <w:spacing w:after="0"/>
              <w:jc w:val="left"/>
            </w:pPr>
            <w:r>
              <w:rPr>
                <w:sz w:val="19"/>
              </w:rPr>
              <w:t>4 ✅</w:t>
            </w:r>
          </w:p>
        </w:tc>
      </w:tr>
      <w:tr>
        <w:trPr>
          <w:cantSplit w:val="true"/>
        </w:trPr>
        <w:tc>
          <w:tcPr>
            <w:tcW w:type="dxa" w:w="3395"/>
          </w:tcPr>
          <w:p>
            <w:pPr>
              <w:spacing w:after="0"/>
              <w:jc w:val="left"/>
            </w:pPr>
            <w:r>
              <w:rPr>
                <w:sz w:val="19"/>
              </w:rPr>
              <w:t>Regresión de Bolsillos</w:t>
            </w:r>
          </w:p>
        </w:tc>
        <w:tc>
          <w:tcPr>
            <w:tcW w:type="dxa" w:w="190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193 ✅ + 5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it.fails</w:t>
            </w:r>
          </w:p>
        </w:tc>
        <w:tc>
          <w:tcPr>
            <w:tcW w:type="dxa" w:w="3343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 xml:space="preserve">195 ✅ + 3 </w:t>
            </w:r>
            <w:r>
              <w:rPr>
                <w:rFonts w:ascii="Consolas" w:hAnsi="Consolas"/>
                <w:b/>
                <w:color w:val="8B1E3F"/>
                <w:sz w:val="17"/>
              </w:rPr>
              <w:t>it.fails</w:t>
            </w:r>
            <w:r>
              <w:rPr>
                <w:sz w:val="19"/>
              </w:rPr>
              <w:t xml:space="preserve"> (D-02 y D-08 corregidos)</w:t>
            </w:r>
          </w:p>
        </w:tc>
      </w:tr>
      <w:tr>
        <w:trPr>
          <w:cantSplit w:val="true"/>
        </w:trPr>
        <w:tc>
          <w:tcPr>
            <w:tcW w:type="dxa" w:w="3395"/>
          </w:tcPr>
          <w:p>
            <w:pPr>
              <w:spacing w:after="0"/>
              <w:jc w:val="left"/>
            </w:pPr>
            <w:r>
              <w:rPr>
                <w:sz w:val="19"/>
              </w:rPr>
              <w:t>Backend completo</w:t>
            </w:r>
          </w:p>
        </w:tc>
        <w:tc>
          <w:tcPr>
            <w:tcW w:type="dxa" w:w="190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772 ✅ + 42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it.fails</w:t>
            </w:r>
          </w:p>
        </w:tc>
        <w:tc>
          <w:tcPr>
            <w:tcW w:type="dxa" w:w="3343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 xml:space="preserve">801 ✅ + 13 </w:t>
            </w:r>
            <w:r>
              <w:rPr>
                <w:rFonts w:ascii="Consolas" w:hAnsi="Consolas"/>
                <w:b/>
                <w:color w:val="8B1E3F"/>
                <w:sz w:val="17"/>
              </w:rPr>
              <w:t>it.fails</w:t>
            </w:r>
          </w:p>
        </w:tc>
      </w:tr>
      <w:tr>
        <w:trPr>
          <w:cantSplit w:val="true"/>
        </w:trPr>
        <w:tc>
          <w:tcPr>
            <w:tcW w:type="dxa" w:w="3395"/>
          </w:tcPr>
          <w:p>
            <w:pPr>
              <w:spacing w:after="0"/>
              <w:jc w:val="left"/>
            </w:pPr>
            <w:r>
              <w:rPr>
                <w:sz w:val="19"/>
              </w:rPr>
              <w:t>Frontend completo</w:t>
            </w:r>
          </w:p>
        </w:tc>
        <w:tc>
          <w:tcPr>
            <w:tcW w:type="dxa" w:w="1902"/>
          </w:tcPr>
          <w:p>
            <w:pPr>
              <w:spacing w:after="0"/>
              <w:jc w:val="left"/>
            </w:pPr>
            <w:r>
              <w:rPr>
                <w:sz w:val="19"/>
              </w:rPr>
              <w:t>249 ✅</w:t>
            </w:r>
          </w:p>
        </w:tc>
        <w:tc>
          <w:tcPr>
            <w:tcW w:type="dxa" w:w="3343"/>
          </w:tcPr>
          <w:p>
            <w:pPr>
              <w:spacing w:after="0"/>
              <w:jc w:val="left"/>
            </w:pPr>
            <w:r>
              <w:rPr>
                <w:sz w:val="19"/>
              </w:rPr>
              <w:t>249 ✅</w:t>
            </w:r>
          </w:p>
        </w:tc>
      </w:tr>
      <w:tr>
        <w:trPr>
          <w:cantSplit w:val="true"/>
        </w:trPr>
        <w:tc>
          <w:tcPr>
            <w:tcW w:type="dxa" w:w="3395"/>
          </w:tcPr>
          <w:p>
            <w:pPr>
              <w:spacing w:after="0"/>
              <w:jc w:val="left"/>
            </w:pPr>
            <w:r>
              <w:rPr>
                <w:sz w:val="19"/>
              </w:rPr>
              <w:t>Cobertura de líneas / ramas (backend)</w:t>
            </w:r>
          </w:p>
        </w:tc>
        <w:tc>
          <w:tcPr>
            <w:tcW w:type="dxa" w:w="1902"/>
          </w:tcPr>
          <w:p>
            <w:pPr>
              <w:spacing w:after="0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type="dxa" w:w="3343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99,6 % / 99,2 %</w:t>
            </w:r>
          </w:p>
        </w:tc>
      </w:tr>
      <w:tr>
        <w:trPr>
          <w:cantSplit w:val="true"/>
        </w:trPr>
        <w:tc>
          <w:tcPr>
            <w:tcW w:type="dxa" w:w="3395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Errores de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tsc</w:t>
            </w:r>
          </w:p>
        </w:tc>
        <w:tc>
          <w:tcPr>
            <w:tcW w:type="dxa" w:w="1902"/>
          </w:tcPr>
          <w:p>
            <w:pPr>
              <w:spacing w:after="0"/>
              <w:jc w:val="left"/>
            </w:pPr>
            <w:r>
              <w:rPr>
                <w:sz w:val="19"/>
              </w:rPr>
              <w:t>0</w:t>
            </w:r>
          </w:p>
        </w:tc>
        <w:tc>
          <w:tcPr>
            <w:tcW w:type="dxa" w:w="3343"/>
          </w:tcPr>
          <w:p>
            <w:pPr>
              <w:spacing w:after="0"/>
              <w:jc w:val="left"/>
            </w:pPr>
            <w:r>
              <w:rPr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8.2 El refactor cierra exactamente lo documentado</w:t>
      </w:r>
    </w:p>
    <w:p>
      <w:r>
        <w:rPr/>
        <w:t xml:space="preserve">Al corregir el código </w:t>
      </w:r>
      <w:r>
        <w:rPr>
          <w:b/>
        </w:rPr>
        <w:t>sin tocar las pruebas</w:t>
      </w:r>
      <w:r>
        <w:rPr/>
        <w:t xml:space="preserve">, Vitest reportó </w:t>
      </w:r>
      <w:r>
        <w:rPr>
          <w:b/>
        </w:rPr>
        <w:t>29</w:t>
      </w:r>
      <w:r>
        <w:rPr/>
        <w:t xml:space="preserve"> </w:t>
      </w:r>
      <w:r>
        <w:rPr>
          <w:rFonts w:ascii="Consolas" w:hAnsi="Consolas"/>
          <w:b w:val="0"/>
          <w:color w:val="8B1E3F"/>
          <w:sz w:val="19"/>
        </w:rPr>
        <w:t>it.fails</w:t>
      </w:r>
      <w:r>
        <w:rPr/>
        <w:t xml:space="preserve"> que ahora pasaban: los 7 de SEC-01, los 7 de SEC-02, los 9 de SEC-03, los 4 de SEC-04 y los dos de regresión (D-02 y D-08). Ninguna otra prueba cambió (772 siguieron en verde). Después se convirtieron en pruebas normales.</w:t>
      </w:r>
    </w:p>
    <w:p>
      <w:pPr>
        <w:pStyle w:val="Heading2"/>
      </w:pPr>
      <w:r>
        <w:rPr/>
        <w:t>8.3 Sensibilidad de los controles que pasan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7"/>
        <w:gridCol w:w="3933"/>
      </w:tblGrid>
      <w:tr>
        <w:trPr>
          <w:cantSplit w:val="true"/>
          <w:tblHeader w:val="true"/>
        </w:trPr>
        <w:tc>
          <w:tcPr>
            <w:tcW w:type="dxa" w:w="470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Mutación introducida (y revertida)</w:t>
            </w:r>
          </w:p>
        </w:tc>
        <w:tc>
          <w:tcPr>
            <w:tcW w:type="dxa" w:w="393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470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DeletePocket</w:t>
            </w:r>
            <w:r>
              <w:rPr>
                <w:sz w:val="19"/>
              </w:rPr>
              <w:t xml:space="preserve"> sin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account.assertBelongsTo</w:t>
            </w:r>
            <w:r>
              <w:rPr>
                <w:sz w:val="19"/>
              </w:rPr>
              <w:t xml:space="preserve"> (sin control de propiedad)</w:t>
            </w:r>
          </w:p>
        </w:tc>
        <w:tc>
          <w:tcPr>
            <w:tcW w:type="dxa" w:w="3933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Falla</w:t>
            </w:r>
            <w:r>
              <w:rPr>
                <w:sz w:val="19"/>
              </w:rPr>
              <w:t xml:space="preserve"> la prueba IDOR: el intruso borra el bolsillo del titular (200 en vez de 403)</w:t>
            </w:r>
          </w:p>
        </w:tc>
      </w:tr>
      <w:tr>
        <w:trPr>
          <w:cantSplit w:val="true"/>
        </w:trPr>
        <w:tc>
          <w:tcPr>
            <w:tcW w:type="dxa" w:w="470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PocketsClient</w:t>
            </w:r>
            <w:r>
              <w:rPr>
                <w:sz w:val="19"/>
              </w:rPr>
              <w:t xml:space="preserve"> pinta el nombre con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dangerouslySetInnerHTML</w:t>
            </w:r>
          </w:p>
        </w:tc>
        <w:tc>
          <w:tcPr>
            <w:tcW w:type="dxa" w:w="3933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Fallan las 4</w:t>
            </w:r>
            <w:r>
              <w:rPr>
                <w:sz w:val="19"/>
              </w:rPr>
              <w:t xml:space="preserve"> pruebas de XSS: el nombre deja de ser texto y se vuelve HTML</w:t>
            </w:r>
          </w:p>
        </w:tc>
      </w:tr>
    </w:tbl>
    <w:p>
      <w:pPr>
        <w:spacing w:after="40"/>
      </w:pPr>
    </w:p>
    <w:p>
      <w:r>
        <w:rPr/>
        <w:t>Confirma que los controles que pasan lo hacen porque el control existe, no por accidente.</w:t>
      </w:r>
    </w:p>
    <w:p>
      <w:pPr>
        <w:pStyle w:val="Heading2"/>
      </w:pPr>
      <w:r>
        <w:rPr/>
        <w:t>8.4 Archivos de evidencia (</w:t>
      </w:r>
      <w:r>
        <w:rPr>
          <w:rFonts w:ascii="Consolas" w:hAnsi="Consolas"/>
          <w:b w:val="0"/>
          <w:color w:val="8B1E3F"/>
          <w:sz w:val="19"/>
        </w:rPr>
        <w:t>docs/evidencia-security-bolsillos/</w:t>
      </w:r>
      <w:r>
        <w:rPr/>
        <w:t>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72"/>
        <w:gridCol w:w="4568"/>
      </w:tblGrid>
      <w:tr>
        <w:trPr>
          <w:cantSplit w:val="true"/>
          <w:tblHeader w:val="true"/>
        </w:trPr>
        <w:tc>
          <w:tcPr>
            <w:tcW w:type="dxa" w:w="4072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Archivo</w:t>
            </w:r>
          </w:p>
        </w:tc>
        <w:tc>
          <w:tcPr>
            <w:tcW w:type="dxa" w:w="4568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407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01-antes-del-refactor.txt</w:t>
            </w:r>
          </w:p>
        </w:tc>
        <w:tc>
          <w:tcPr>
            <w:tcW w:type="dxa" w:w="4568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Suite completa en fase de documentación (117 ✅ + 37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it.fails</w:t>
            </w:r>
            <w:r>
              <w:rPr>
                <w:sz w:val="19"/>
              </w:rPr>
              <w:t>) y XSS frontend</w:t>
            </w:r>
          </w:p>
        </w:tc>
      </w:tr>
      <w:tr>
        <w:trPr>
          <w:cantSplit w:val="true"/>
        </w:trPr>
        <w:tc>
          <w:tcPr>
            <w:tcW w:type="dxa" w:w="407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02-motivo-de-cada-hallazgo.txt</w:t>
            </w:r>
          </w:p>
        </w:tc>
        <w:tc>
          <w:tcPr>
            <w:tcW w:type="dxa" w:w="4568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Cada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it.fails</w:t>
            </w:r>
            <w:r>
              <w:rPr>
                <w:sz w:val="19"/>
              </w:rPr>
              <w:t xml:space="preserve"> ejecutado como prueba normal: aserción exacta que falla</w:t>
            </w:r>
          </w:p>
        </w:tc>
      </w:tr>
      <w:tr>
        <w:trPr>
          <w:cantSplit w:val="true"/>
        </w:trPr>
        <w:tc>
          <w:tcPr>
            <w:tcW w:type="dxa" w:w="407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03-sensibilidad-de-los-controles.txt</w:t>
            </w:r>
          </w:p>
        </w:tc>
        <w:tc>
          <w:tcPr>
            <w:tcW w:type="dxa" w:w="4568"/>
          </w:tcPr>
          <w:p>
            <w:pPr>
              <w:spacing w:after="0"/>
              <w:jc w:val="left"/>
            </w:pPr>
            <w:r>
              <w:rPr>
                <w:sz w:val="19"/>
              </w:rPr>
              <w:t>Las dos mutaciones de la sección 8.3</w:t>
            </w:r>
          </w:p>
        </w:tc>
      </w:tr>
      <w:tr>
        <w:trPr>
          <w:cantSplit w:val="true"/>
        </w:trPr>
        <w:tc>
          <w:tcPr>
            <w:tcW w:type="dxa" w:w="407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04-refactor-cierra-los-hallazgos.txt</w:t>
            </w:r>
          </w:p>
        </w:tc>
        <w:tc>
          <w:tcPr>
            <w:tcW w:type="dxa" w:w="4568"/>
          </w:tcPr>
          <w:p>
            <w:pPr>
              <w:spacing w:after="0"/>
              <w:jc w:val="left"/>
            </w:pPr>
            <w:r>
              <w:rPr>
                <w:sz w:val="19"/>
              </w:rPr>
              <w:t>Corrida tras el refactor sin tocar las pruebas: los 29 cerrados</w:t>
            </w:r>
          </w:p>
        </w:tc>
      </w:tr>
      <w:tr>
        <w:trPr>
          <w:cantSplit w:val="true"/>
        </w:trPr>
        <w:tc>
          <w:tcPr>
            <w:tcW w:type="dxa" w:w="407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05-despues-del-refactor.txt</w:t>
            </w:r>
          </w:p>
        </w:tc>
        <w:tc>
          <w:tcPr>
            <w:tcW w:type="dxa" w:w="4568"/>
          </w:tcPr>
          <w:p>
            <w:pPr>
              <w:spacing w:after="0"/>
              <w:jc w:val="left"/>
            </w:pPr>
            <w:r>
              <w:rPr>
                <w:sz w:val="19"/>
              </w:rPr>
              <w:t>Suite de seguridad, regresión y backend completo después del refactor</w:t>
            </w:r>
          </w:p>
        </w:tc>
      </w:tr>
    </w:tbl>
    <w:p>
      <w:pPr>
        <w:spacing w:after="40"/>
      </w:pP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9. Riesgo residual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4"/>
        <w:gridCol w:w="878"/>
        <w:gridCol w:w="2490"/>
        <w:gridCol w:w="2398"/>
      </w:tblGrid>
      <w:tr>
        <w:trPr>
          <w:cantSplit w:val="true"/>
          <w:tblHeader w:val="true"/>
        </w:trPr>
        <w:tc>
          <w:tcPr>
            <w:tcW w:type="dxa" w:w="2874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Riesgo</w:t>
            </w:r>
          </w:p>
        </w:tc>
        <w:tc>
          <w:tcPr>
            <w:tcW w:type="dxa" w:w="878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Nivel</w:t>
            </w:r>
          </w:p>
        </w:tc>
        <w:tc>
          <w:tcPr>
            <w:tcW w:type="dxa" w:w="249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Mitigación actual</w:t>
            </w:r>
          </w:p>
        </w:tc>
        <w:tc>
          <w:tcPr>
            <w:tcW w:type="dxa" w:w="2398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Siguiente paso</w:t>
            </w:r>
          </w:p>
        </w:tc>
      </w:tr>
      <w:tr>
        <w:trPr>
          <w:cantSplit w:val="true"/>
        </w:trPr>
        <w:tc>
          <w:tcPr>
            <w:tcW w:type="dxa" w:w="2874"/>
          </w:tcPr>
          <w:p>
            <w:pPr>
              <w:spacing w:after="0"/>
              <w:jc w:val="left"/>
            </w:pPr>
            <w:r>
              <w:rPr>
                <w:sz w:val="19"/>
              </w:rPr>
              <w:t>Ráfagas contra Bolsillos/depósito (SEC-08)</w:t>
            </w:r>
          </w:p>
        </w:tc>
        <w:tc>
          <w:tcPr>
            <w:tcW w:type="dxa" w:w="878"/>
          </w:tcPr>
          <w:p>
            <w:pPr>
              <w:spacing w:after="0"/>
              <w:jc w:val="left"/>
            </w:pPr>
            <w:r>
              <w:rPr>
                <w:sz w:val="19"/>
              </w:rPr>
              <w:t>Medio</w:t>
            </w:r>
          </w:p>
        </w:tc>
        <w:tc>
          <w:tcPr>
            <w:tcW w:type="dxa" w:w="2490"/>
          </w:tcPr>
          <w:p>
            <w:pPr>
              <w:spacing w:after="0"/>
              <w:jc w:val="left"/>
            </w:pPr>
            <w:r>
              <w:rPr>
                <w:sz w:val="19"/>
              </w:rPr>
              <w:t>Autenticación obligatoria</w:t>
            </w:r>
          </w:p>
        </w:tc>
        <w:tc>
          <w:tcPr>
            <w:tcW w:type="dxa" w:w="2398"/>
          </w:tcPr>
          <w:p>
            <w:pPr>
              <w:spacing w:after="0"/>
              <w:jc w:val="left"/>
            </w:pPr>
            <w:r>
              <w:rPr>
                <w:sz w:val="19"/>
              </w:rPr>
              <w:t>Rate limiting por usuario</w:t>
            </w:r>
          </w:p>
        </w:tc>
      </w:tr>
      <w:tr>
        <w:trPr>
          <w:cantSplit w:val="true"/>
        </w:trPr>
        <w:tc>
          <w:tcPr>
            <w:tcW w:type="dxa" w:w="2874"/>
          </w:tcPr>
          <w:p>
            <w:pPr>
              <w:spacing w:after="0"/>
              <w:jc w:val="left"/>
            </w:pPr>
            <w:r>
              <w:rPr>
                <w:sz w:val="19"/>
              </w:rPr>
              <w:t>Montos fuera del rango seguro (SEC-05)</w:t>
            </w:r>
          </w:p>
        </w:tc>
        <w:tc>
          <w:tcPr>
            <w:tcW w:type="dxa" w:w="878"/>
          </w:tcPr>
          <w:p>
            <w:pPr>
              <w:spacing w:after="0"/>
              <w:jc w:val="left"/>
            </w:pPr>
            <w:r>
              <w:rPr>
                <w:sz w:val="19"/>
              </w:rPr>
              <w:t>Medio</w:t>
            </w:r>
          </w:p>
        </w:tc>
        <w:tc>
          <w:tcPr>
            <w:tcW w:type="dxa" w:w="2490"/>
          </w:tcPr>
          <w:p>
            <w:pPr>
              <w:spacing w:after="0"/>
              <w:jc w:val="left"/>
            </w:pPr>
            <w:r>
              <w:rPr>
                <w:sz w:val="19"/>
              </w:rPr>
              <w:t>Ninguna</w:t>
            </w:r>
          </w:p>
        </w:tc>
        <w:tc>
          <w:tcPr>
            <w:tcW w:type="dxa" w:w="2398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Validar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isSafeInteger</w:t>
            </w:r>
            <w:r>
              <w:rPr>
                <w:sz w:val="19"/>
              </w:rPr>
              <w:t xml:space="preserve"> y tope por operación</w:t>
            </w:r>
          </w:p>
        </w:tc>
      </w:tr>
      <w:tr>
        <w:trPr>
          <w:cantSplit w:val="true"/>
        </w:trPr>
        <w:tc>
          <w:tcPr>
            <w:tcW w:type="dxa" w:w="2874"/>
          </w:tcPr>
          <w:p>
            <w:pPr>
              <w:spacing w:after="0"/>
              <w:jc w:val="left"/>
            </w:pPr>
            <w:r>
              <w:rPr>
                <w:sz w:val="19"/>
              </w:rPr>
              <w:t>Errores 500 por cuerpos inválidos (SEC-06/07)</w:t>
            </w:r>
          </w:p>
        </w:tc>
        <w:tc>
          <w:tcPr>
            <w:tcW w:type="dxa" w:w="878"/>
          </w:tcPr>
          <w:p>
            <w:pPr>
              <w:spacing w:after="0"/>
              <w:jc w:val="left"/>
            </w:pPr>
            <w:r>
              <w:rPr>
                <w:sz w:val="19"/>
              </w:rPr>
              <w:t>Bajo</w:t>
            </w:r>
          </w:p>
        </w:tc>
        <w:tc>
          <w:tcPr>
            <w:tcW w:type="dxa" w:w="2490"/>
          </w:tcPr>
          <w:p>
            <w:pPr>
              <w:spacing w:after="0"/>
              <w:jc w:val="left"/>
            </w:pPr>
            <w:r>
              <w:rPr>
                <w:sz w:val="19"/>
              </w:rPr>
              <w:t>El body sí se rechaza y no se filtran detalles</w:t>
            </w:r>
          </w:p>
        </w:tc>
        <w:tc>
          <w:tcPr>
            <w:tcW w:type="dxa" w:w="2398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Mapear a 400/413 en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errorHandler</w:t>
            </w:r>
          </w:p>
        </w:tc>
      </w:tr>
      <w:tr>
        <w:trPr>
          <w:cantSplit w:val="true"/>
        </w:trPr>
        <w:tc>
          <w:tcPr>
            <w:tcW w:type="dxa" w:w="2874"/>
          </w:tcPr>
          <w:p>
            <w:pPr>
              <w:spacing w:after="0"/>
              <w:jc w:val="left"/>
            </w:pPr>
            <w:r>
              <w:rPr>
                <w:sz w:val="19"/>
              </w:rPr>
              <w:t>Robo de contraseña sin 2FA activo</w:t>
            </w:r>
          </w:p>
        </w:tc>
        <w:tc>
          <w:tcPr>
            <w:tcW w:type="dxa" w:w="878"/>
          </w:tcPr>
          <w:p>
            <w:pPr>
              <w:spacing w:after="0"/>
              <w:jc w:val="left"/>
            </w:pPr>
            <w:r>
              <w:rPr>
                <w:sz w:val="19"/>
              </w:rPr>
              <w:t>Medio</w:t>
            </w:r>
          </w:p>
        </w:tc>
        <w:tc>
          <w:tcPr>
            <w:tcW w:type="dxa" w:w="2490"/>
          </w:tcPr>
          <w:p>
            <w:pPr>
              <w:spacing w:after="0"/>
              <w:jc w:val="left"/>
            </w:pPr>
            <w:r>
              <w:rPr>
                <w:sz w:val="19"/>
              </w:rPr>
              <w:t>Depende del usuario</w:t>
            </w:r>
          </w:p>
        </w:tc>
        <w:tc>
          <w:tcPr>
            <w:tcW w:type="dxa" w:w="2398"/>
          </w:tcPr>
          <w:p>
            <w:pPr>
              <w:spacing w:after="0"/>
              <w:jc w:val="left"/>
            </w:pPr>
            <w:r>
              <w:rPr>
                <w:sz w:val="19"/>
              </w:rPr>
              <w:t>Fuera del alcance del módulo</w:t>
            </w:r>
          </w:p>
        </w:tc>
      </w:tr>
    </w:tbl>
    <w:p>
      <w:pPr>
        <w:spacing w:after="40"/>
      </w:pP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10. Integración continua</w:t>
      </w:r>
    </w:p>
    <w:p>
      <w:pPr>
        <w:pStyle w:val="ListBullet"/>
        <w:spacing w:after="60"/>
      </w:pPr>
      <w:r>
        <w:rPr/>
        <w:t xml:space="preserve">Las pruebas viven en </w:t>
      </w:r>
      <w:r>
        <w:rPr>
          <w:rFonts w:ascii="Consolas" w:hAnsi="Consolas"/>
          <w:b w:val="0"/>
          <w:color w:val="8B1E3F"/>
          <w:sz w:val="19"/>
        </w:rPr>
        <w:t>backend/src/tests/security/pocket/</w:t>
      </w:r>
      <w:r>
        <w:rPr/>
        <w:t xml:space="preserve"> y </w:t>
      </w:r>
      <w:r>
        <w:rPr>
          <w:rFonts w:ascii="Consolas" w:hAnsi="Consolas"/>
          <w:b w:val="0"/>
          <w:color w:val="8B1E3F"/>
          <w:sz w:val="19"/>
        </w:rPr>
        <w:t>frontend/src/tests/unit/security/</w:t>
      </w:r>
      <w:r>
        <w:rPr/>
        <w:t xml:space="preserve">. Entran solas en </w:t>
      </w:r>
      <w:r>
        <w:rPr>
          <w:rFonts w:ascii="Consolas" w:hAnsi="Consolas"/>
          <w:b w:val="0"/>
          <w:color w:val="8B1E3F"/>
          <w:sz w:val="19"/>
        </w:rPr>
        <w:t>npm run test:coverage</w:t>
      </w:r>
      <w:r>
        <w:rPr/>
        <w:t xml:space="preserve"> del pipeline de Jenkins (backend y frontend), en </w:t>
      </w:r>
      <w:r>
        <w:rPr>
          <w:rFonts w:ascii="Consolas" w:hAnsi="Consolas"/>
          <w:b w:val="0"/>
          <w:color w:val="8B1E3F"/>
          <w:sz w:val="19"/>
        </w:rPr>
        <w:t>npm run test:security</w:t>
      </w:r>
      <w:r>
        <w:rPr/>
        <w:t xml:space="preserve"> del equipo y en el script propio </w:t>
      </w:r>
      <w:r>
        <w:rPr>
          <w:rFonts w:ascii="Consolas" w:hAnsi="Consolas"/>
          <w:b w:val="0"/>
          <w:color w:val="8B1E3F"/>
          <w:sz w:val="19"/>
        </w:rPr>
        <w:t>npm run test:security:bolsillos</w:t>
      </w:r>
      <w:r>
        <w:rPr/>
        <w:t>.</w:t>
      </w:r>
    </w:p>
    <w:p>
      <w:pPr>
        <w:pStyle w:val="ListBullet"/>
        <w:spacing w:after="60"/>
      </w:pPr>
      <w:r>
        <w:rPr/>
        <w:t xml:space="preserve">Un </w:t>
      </w:r>
      <w:r>
        <w:rPr>
          <w:rFonts w:ascii="Consolas" w:hAnsi="Consolas"/>
          <w:b w:val="0"/>
          <w:color w:val="8B1E3F"/>
          <w:sz w:val="19"/>
        </w:rPr>
        <w:t>it.fails</w:t>
      </w:r>
      <w:r>
        <w:rPr/>
        <w:t xml:space="preserve"> </w:t>
      </w:r>
      <w:r>
        <w:rPr>
          <w:b/>
        </w:rPr>
        <w:t>no rompe</w:t>
      </w:r>
      <w:r>
        <w:rPr/>
        <w:t xml:space="preserve"> el pipeline mientras la vulnerabilidad siga abierta, pero </w:t>
      </w:r>
      <w:r>
        <w:rPr>
          <w:b/>
        </w:rPr>
        <w:t>sí lo rompe en cuanto se corrige</w:t>
      </w:r>
      <w:r>
        <w:rPr/>
        <w:t xml:space="preserve"> sin actualizar la prueba: el pipeline obliga a mantener la documentación al día.</w:t>
      </w:r>
    </w:p>
    <w:p>
      <w:pPr>
        <w:pStyle w:val="ListBullet"/>
        <w:spacing w:after="60"/>
      </w:pPr>
      <w:r>
        <w:rPr/>
        <w:t xml:space="preserve">Las pruebas corregidas quedan como </w:t>
      </w:r>
      <w:r>
        <w:rPr>
          <w:b/>
        </w:rPr>
        <w:t>regresión de seguridad permanente</w:t>
      </w:r>
      <w:r>
        <w:rPr/>
        <w:t>: si alguien reintroduce el bypass de 2FA o la conversión forzada de montos, el pipeline falla.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11. Cómo ejecutar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cd backend</w:t>
        <w:br/>
      </w:r>
      <w:r>
        <w:rPr>
          <w:rFonts w:ascii="Consolas" w:hAnsi="Consolas" w:eastAsia="Consolas"/>
          <w:sz w:val="17"/>
        </w:rPr>
        <w:t>npm run test:security:bolsillos      # 154 casos con detalle (verbose)</w:t>
        <w:br/>
      </w:r>
      <w:r>
        <w:rPr>
          <w:rFonts w:ascii="Consolas" w:hAnsi="Consolas" w:eastAsia="Consolas"/>
          <w:sz w:val="17"/>
        </w:rPr>
        <w:t>npm run test:security                # toda la carpeta de seguridad del equipo</w:t>
        <w:br/>
      </w:r>
      <w:r>
        <w:rPr>
          <w:rFonts w:ascii="Consolas" w:hAnsi="Consolas" w:eastAsia="Consolas"/>
          <w:sz w:val="17"/>
        </w:rPr>
        <w:t>npm run test:coverage                # lo que ejecuta Jenkins</w:t>
        <w:br/>
      </w:r>
      <w:r>
        <w:rPr>
          <w:rFonts w:ascii="Consolas" w:hAnsi="Consolas" w:eastAsia="Consolas"/>
          <w:sz w:val="17"/>
        </w:rPr>
        <w:t xml:space="preserve"> </w:t>
        <w:br/>
      </w:r>
      <w:r>
        <w:rPr>
          <w:rFonts w:ascii="Consolas" w:hAnsi="Consolas" w:eastAsia="Consolas"/>
          <w:sz w:val="17"/>
        </w:rPr>
        <w:t>cd ../frontend</w:t>
        <w:br/>
      </w:r>
      <w:r>
        <w:rPr>
          <w:rFonts w:ascii="Consolas" w:hAnsi="Consolas" w:eastAsia="Consolas"/>
          <w:sz w:val="17"/>
        </w:rPr>
        <w:t>npx vitest run src/tests/unit/security   # SEC-OUT-01 (XSS)</w:t>
      </w:r>
    </w:p>
    <w:p>
      <w:r>
        <w:rPr/>
        <w:t xml:space="preserve">No requiere Supabase ni red: usa repositorios en memoria y la </w:t>
      </w:r>
      <w:r>
        <w:rPr>
          <w:rFonts w:ascii="Consolas" w:hAnsi="Consolas"/>
          <w:b w:val="0"/>
          <w:color w:val="8B1E3F"/>
          <w:sz w:val="19"/>
        </w:rPr>
        <w:t>createApp()</w:t>
      </w:r>
      <w:r>
        <w:rPr/>
        <w:t xml:space="preserve"> real sin llegar a la BD.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12. Archivos entregados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5"/>
        <w:gridCol w:w="3695"/>
      </w:tblGrid>
      <w:tr>
        <w:trPr>
          <w:cantSplit w:val="true"/>
          <w:tblHeader w:val="true"/>
        </w:trPr>
        <w:tc>
          <w:tcPr>
            <w:tcW w:type="dxa" w:w="4945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Archivo</w:t>
            </w:r>
          </w:p>
        </w:tc>
        <w:tc>
          <w:tcPr>
            <w:tcW w:type="dxa" w:w="3695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4945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backend/src/tests/security/pocket/support/attacks.ts</w:t>
            </w:r>
          </w:p>
        </w:tc>
        <w:tc>
          <w:tcPr>
            <w:tcW w:type="dxa" w:w="3695"/>
          </w:tcPr>
          <w:p>
            <w:pPr>
              <w:spacing w:after="0"/>
              <w:jc w:val="left"/>
            </w:pPr>
            <w:r>
              <w:rPr>
                <w:sz w:val="19"/>
              </w:rPr>
              <w:t>Tabla de las 6 operaciones, tokens falsificados y tokens reales de 2FA / recuperación</w:t>
            </w:r>
          </w:p>
        </w:tc>
      </w:tr>
      <w:tr>
        <w:trPr>
          <w:cantSplit w:val="true"/>
        </w:trPr>
        <w:tc>
          <w:tcPr>
            <w:tcW w:type="dxa" w:w="4945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backend/src/tests/security/pocket/autenticacion.security.test.ts</w:t>
            </w:r>
          </w:p>
        </w:tc>
        <w:tc>
          <w:tcPr>
            <w:tcW w:type="dxa" w:w="3695"/>
          </w:tcPr>
          <w:p>
            <w:pPr>
              <w:spacing w:after="0"/>
              <w:jc w:val="left"/>
            </w:pPr>
            <w:r>
              <w:rPr>
                <w:sz w:val="19"/>
              </w:rPr>
              <w:t>SEC-AUTH</w:t>
            </w:r>
          </w:p>
        </w:tc>
      </w:tr>
      <w:tr>
        <w:trPr>
          <w:cantSplit w:val="true"/>
        </w:trPr>
        <w:tc>
          <w:tcPr>
            <w:tcW w:type="dxa" w:w="4945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backend/src/tests/security/pocket/autorizacion.security.test.ts</w:t>
            </w:r>
          </w:p>
        </w:tc>
        <w:tc>
          <w:tcPr>
            <w:tcW w:type="dxa" w:w="3695"/>
          </w:tcPr>
          <w:p>
            <w:pPr>
              <w:spacing w:after="0"/>
              <w:jc w:val="left"/>
            </w:pPr>
            <w:r>
              <w:rPr>
                <w:sz w:val="19"/>
              </w:rPr>
              <w:t>SEC-AUTHZ</w:t>
            </w:r>
          </w:p>
        </w:tc>
      </w:tr>
      <w:tr>
        <w:trPr>
          <w:cantSplit w:val="true"/>
        </w:trPr>
        <w:tc>
          <w:tcPr>
            <w:tcW w:type="dxa" w:w="4945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backend/src/tests/security/pocket/entrada.security.test.ts</w:t>
            </w:r>
          </w:p>
        </w:tc>
        <w:tc>
          <w:tcPr>
            <w:tcW w:type="dxa" w:w="3695"/>
          </w:tcPr>
          <w:p>
            <w:pPr>
              <w:spacing w:after="0"/>
              <w:jc w:val="left"/>
            </w:pPr>
            <w:r>
              <w:rPr>
                <w:sz w:val="19"/>
              </w:rPr>
              <w:t>SEC-IN-01 a SEC-IN-05</w:t>
            </w:r>
          </w:p>
        </w:tc>
      </w:tr>
      <w:tr>
        <w:trPr>
          <w:cantSplit w:val="true"/>
        </w:trPr>
        <w:tc>
          <w:tcPr>
            <w:tcW w:type="dxa" w:w="4945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backend/src/tests/security/pocket/endurecimiento.security.test.ts</w:t>
            </w:r>
          </w:p>
        </w:tc>
        <w:tc>
          <w:tcPr>
            <w:tcW w:type="dxa" w:w="3695"/>
          </w:tcPr>
          <w:p>
            <w:pPr>
              <w:spacing w:after="0"/>
              <w:jc w:val="left"/>
            </w:pPr>
            <w:r>
              <w:rPr>
                <w:sz w:val="19"/>
              </w:rPr>
              <w:t>SEC-HD-01 a SEC-HD-05</w:t>
            </w:r>
          </w:p>
        </w:tc>
      </w:tr>
      <w:tr>
        <w:trPr>
          <w:cantSplit w:val="true"/>
        </w:trPr>
        <w:tc>
          <w:tcPr>
            <w:tcW w:type="dxa" w:w="4945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frontend/src/tests/unit/security/pockets.xss.test.tsx</w:t>
            </w:r>
          </w:p>
        </w:tc>
        <w:tc>
          <w:tcPr>
            <w:tcW w:type="dxa" w:w="3695"/>
          </w:tcPr>
          <w:p>
            <w:pPr>
              <w:spacing w:after="0"/>
              <w:jc w:val="left"/>
            </w:pPr>
            <w:r>
              <w:rPr>
                <w:sz w:val="19"/>
              </w:rPr>
              <w:t>SEC-OUT-01</w:t>
            </w:r>
          </w:p>
        </w:tc>
      </w:tr>
      <w:tr>
        <w:trPr>
          <w:cantSplit w:val="true"/>
        </w:trPr>
        <w:tc>
          <w:tcPr>
            <w:tcW w:type="dxa" w:w="4945"/>
          </w:tcPr>
          <w:p>
            <w:pPr>
              <w:spacing w:after="0"/>
              <w:jc w:val="left"/>
            </w:pPr>
            <w:r>
              <w:rPr>
                <w:sz w:val="19"/>
              </w:rPr>
              <w:t>Archivos de producción de la sección 7.3</w:t>
            </w:r>
          </w:p>
        </w:tc>
        <w:tc>
          <w:tcPr>
            <w:tcW w:type="dxa" w:w="3695"/>
          </w:tcPr>
          <w:p>
            <w:pPr>
              <w:spacing w:after="0"/>
              <w:jc w:val="left"/>
            </w:pPr>
            <w:r>
              <w:rPr>
                <w:sz w:val="19"/>
              </w:rPr>
              <w:t>Corrección de SEC-01 a SEC-04</w:t>
            </w:r>
          </w:p>
        </w:tc>
      </w:tr>
      <w:tr>
        <w:trPr>
          <w:cantSplit w:val="true"/>
        </w:trPr>
        <w:tc>
          <w:tcPr>
            <w:tcW w:type="dxa" w:w="4945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docs/evidencia-security-bolsillos/</w:t>
            </w:r>
          </w:p>
        </w:tc>
        <w:tc>
          <w:tcPr>
            <w:tcW w:type="dxa" w:w="3695"/>
          </w:tcPr>
          <w:p>
            <w:pPr>
              <w:spacing w:after="0"/>
              <w:jc w:val="left"/>
            </w:pPr>
            <w:r>
              <w:rPr>
                <w:sz w:val="19"/>
              </w:rPr>
              <w:t>Evidencia de la sección 8.4</w:t>
            </w:r>
          </w:p>
        </w:tc>
      </w:tr>
    </w:tbl>
    <w:p>
      <w:pPr>
        <w:spacing w:after="40"/>
      </w:pP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13. Guion de sustentación</w:t>
      </w:r>
    </w:p>
    <w:p>
      <w:r>
        <w:rPr>
          <w:b/>
        </w:rPr>
        <w:t>En 30 segundos.</w:t>
      </w:r>
      <w:r>
        <w:rPr/>
        <w:t xml:space="preserve"> Tomé el modelo del curso —convertir reglas de seguridad en pruebas de regresión con tablas— y lo apliqué a mis seis funcionalidades en cinco frentes: autenticación, autorización, entrada, salida y endurecimiento. Encontré 8 vulnerabilidades. La más grave permitía saltarse el 2FA con el token temporal del login. Primero las documenté con pruebas que fallan, después corregí las cuatro más importantes y las pruebas pasaron a verde sin romper nada del resto de la aplicación.</w:t>
      </w:r>
    </w:p>
    <w:p>
      <w:r>
        <w:rPr>
          <w:b/>
        </w:rPr>
        <w:t>Demo sugerida.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Consolas" w:hAnsi="Consolas"/>
          <w:b w:val="0"/>
          <w:color w:val="8B1E3F"/>
          <w:sz w:val="19"/>
        </w:rPr>
        <w:t>npm run test:security:bolsillos</w:t>
      </w:r>
      <w:r>
        <w:rPr/>
        <w:t xml:space="preserve"> → 144 ✅ + 10 </w:t>
      </w:r>
      <w:r>
        <w:rPr>
          <w:rFonts w:ascii="Consolas" w:hAnsi="Consolas"/>
          <w:b w:val="0"/>
          <w:color w:val="8B1E3F"/>
          <w:sz w:val="19"/>
        </w:rPr>
        <w:t>it.fails</w:t>
      </w:r>
      <w:r>
        <w:rPr/>
        <w:t>.</w:t>
      </w:r>
    </w:p>
    <w:p>
      <w:pPr>
        <w:pStyle w:val="ListNumber"/>
        <w:numPr>
          <w:ilvl w:val="0"/>
          <w:numId w:val="12"/>
        </w:numPr>
        <w:spacing w:after="60"/>
      </w:pPr>
      <w:r>
        <w:rPr/>
        <w:t xml:space="preserve">Mostrar </w:t>
      </w:r>
      <w:r>
        <w:rPr>
          <w:rFonts w:ascii="Consolas" w:hAnsi="Consolas"/>
          <w:b w:val="0"/>
          <w:color w:val="8B1E3F"/>
          <w:sz w:val="19"/>
        </w:rPr>
        <w:t>isAccessToken</w:t>
      </w:r>
      <w:r>
        <w:rPr/>
        <w:t xml:space="preserve"> y explicar la lista blanca.</w:t>
      </w:r>
    </w:p>
    <w:p>
      <w:pPr>
        <w:pStyle w:val="ListNumber"/>
        <w:numPr>
          <w:ilvl w:val="0"/>
          <w:numId w:val="12"/>
        </w:numPr>
        <w:spacing w:after="60"/>
      </w:pPr>
      <w:r>
        <w:rPr/>
        <w:t xml:space="preserve">Comentar la verificación </w:t>
      </w:r>
      <w:r>
        <w:rPr>
          <w:rFonts w:ascii="Consolas" w:hAnsi="Consolas"/>
          <w:b w:val="0"/>
          <w:color w:val="8B1E3F"/>
          <w:sz w:val="19"/>
        </w:rPr>
        <w:t>if (!isAccessToken(payload))</w:t>
      </w:r>
      <w:r>
        <w:rPr/>
        <w:t xml:space="preserve"> en </w:t>
      </w:r>
      <w:r>
        <w:rPr>
          <w:rFonts w:ascii="Consolas" w:hAnsi="Consolas"/>
          <w:b w:val="0"/>
          <w:color w:val="8B1E3F"/>
          <w:sz w:val="19"/>
        </w:rPr>
        <w:t>authMiddleware</w:t>
      </w:r>
      <w:r>
        <w:rPr/>
        <w:t xml:space="preserve"> → fallan las 12 pruebas SEC-01/SEC-02 de las 6 operaciones: el bypass vuelve. Revertir → verde.</w:t>
      </w:r>
    </w:p>
    <w:p>
      <w:r>
        <w:rPr>
          <w:b/>
        </w:rPr>
        <w:t>Preguntas probables.</w:t>
      </w:r>
    </w:p>
    <w:p>
      <w:pPr>
        <w:pStyle w:val="ListBullet"/>
        <w:spacing w:after="60"/>
      </w:pPr>
      <w:r>
        <w:rPr>
          <w:b/>
        </w:rPr>
        <w:t>¿Por qué el token temporal servía como acceso?</w:t>
      </w:r>
      <w:r>
        <w:rPr/>
        <w:t xml:space="preserve"> Tenía la misma firma y forma que uno de acceso, y el middleware no verificaba el propósito del token.</w:t>
      </w:r>
    </w:p>
    <w:p>
      <w:pPr>
        <w:pStyle w:val="ListBullet"/>
        <w:spacing w:after="60"/>
      </w:pPr>
      <w:r>
        <w:rPr>
          <w:b/>
        </w:rPr>
        <w:t>¿Por qué lista blanca?</w:t>
      </w:r>
      <w:r>
        <w:rPr/>
        <w:t xml:space="preserve"> Si mañana se crea otro token de propósito único, queda rechazado sin tocar el middleware.</w:t>
      </w:r>
    </w:p>
    <w:p>
      <w:pPr>
        <w:pStyle w:val="ListBullet"/>
        <w:spacing w:after="60"/>
      </w:pPr>
      <w:r>
        <w:rPr>
          <w:b/>
        </w:rPr>
        <w:t>¿El arreglo rompe el login con 2FA?</w:t>
      </w:r>
      <w:r>
        <w:rPr/>
        <w:t xml:space="preserve"> No: </w:t>
      </w:r>
      <w:r>
        <w:rPr>
          <w:rFonts w:ascii="Consolas" w:hAnsi="Consolas"/>
          <w:b w:val="0"/>
          <w:color w:val="8B1E3F"/>
          <w:sz w:val="19"/>
        </w:rPr>
        <w:t>/2fa/verify</w:t>
      </w:r>
      <w:r>
        <w:rPr/>
        <w:t xml:space="preserve"> y </w:t>
      </w:r>
      <w:r>
        <w:rPr>
          <w:rFonts w:ascii="Consolas" w:hAnsi="Consolas"/>
          <w:b w:val="0"/>
          <w:color w:val="8B1E3F"/>
          <w:sz w:val="19"/>
        </w:rPr>
        <w:t>/2fa/resend</w:t>
      </w:r>
      <w:r>
        <w:rPr/>
        <w:t xml:space="preserve"> reciben el token en el body y no pasan por </w:t>
      </w:r>
      <w:r>
        <w:rPr>
          <w:rFonts w:ascii="Consolas" w:hAnsi="Consolas"/>
          <w:b w:val="0"/>
          <w:color w:val="8B1E3F"/>
          <w:sz w:val="19"/>
        </w:rPr>
        <w:t>authMiddleware</w:t>
      </w:r>
      <w:r>
        <w:rPr/>
        <w:t>. Las suites de autenticación del equipo siguen en verde.</w:t>
      </w:r>
    </w:p>
    <w:p>
      <w:pPr>
        <w:pStyle w:val="ListBullet"/>
        <w:spacing w:after="60"/>
      </w:pPr>
      <w:r>
        <w:rPr>
          <w:b/>
        </w:rPr>
        <w:t>¿Qué es *type juggling*?</w:t>
      </w:r>
      <w:r>
        <w:rPr/>
        <w:t xml:space="preserve"> Que el servidor convierta a la fuerza un valor de otro tipo: </w:t>
      </w:r>
      <w:r>
        <w:rPr>
          <w:rFonts w:ascii="Consolas" w:hAnsi="Consolas"/>
          <w:b w:val="0"/>
          <w:color w:val="8B1E3F"/>
          <w:sz w:val="19"/>
        </w:rPr>
        <w:t>Number(true)</w:t>
      </w:r>
      <w:r>
        <w:rPr/>
        <w:t xml:space="preserve"> es 1 y </w:t>
      </w:r>
      <w:r>
        <w:rPr>
          <w:rFonts w:ascii="Consolas" w:hAnsi="Consolas"/>
          <w:b w:val="0"/>
          <w:color w:val="8B1E3F"/>
          <w:sz w:val="19"/>
        </w:rPr>
        <w:t>Number([1500])</w:t>
      </w:r>
      <w:r>
        <w:rPr/>
        <w:t xml:space="preserve"> es 1500.</w:t>
      </w:r>
    </w:p>
    <w:p>
      <w:pPr>
        <w:pStyle w:val="ListBullet"/>
        <w:spacing w:after="60"/>
      </w:pPr>
      <w:r>
        <w:rPr>
          <w:b/>
        </w:rPr>
        <w:t xml:space="preserve">¿Por qué la API guarda </w:t>
      </w:r>
      <w:r>
        <w:rPr>
          <w:rFonts w:ascii="Consolas" w:hAnsi="Consolas"/>
          <w:b/>
          <w:color w:val="8B1E3F"/>
          <w:sz w:val="19"/>
        </w:rPr>
        <w:t>&lt;script&gt;</w:t>
      </w:r>
      <w:r>
        <w:rPr>
          <w:b/>
        </w:rPr>
        <w:t xml:space="preserve"> literal en vez de limpiarlo?</w:t>
      </w:r>
      <w:r>
        <w:rPr/>
        <w:t xml:space="preserve"> El escape depende del contexto de salida (HTML, SQL, URL…), como advierte el ejemplo del curso. La API devuelve JSON y React lo pinta como texto; las dos cosas están probadas.</w:t>
      </w:r>
    </w:p>
    <w:p>
      <w:pPr>
        <w:pStyle w:val="ListBullet"/>
        <w:spacing w:after="60"/>
      </w:pPr>
      <w:r>
        <w:rPr>
          <w:b/>
        </w:rPr>
        <w:t>¿Por qué quedan hallazgos abiertos?</w:t>
      </w:r>
      <w:r>
        <w:rPr/>
        <w:t xml:space="preserve"> Se priorizaron los de mayor impacto; los otros cuatro están documentados, con su prueba lista para ponerse en verde cuando se corrijan.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14. Conclusiones</w:t>
      </w:r>
    </w:p>
    <w:p>
      <w:pPr>
        <w:pStyle w:val="ListBullet"/>
        <w:spacing w:after="60"/>
      </w:pPr>
      <w:r>
        <w:rPr/>
        <w:t xml:space="preserve">Las seis funcionalidades quedan protegidas por </w:t>
      </w:r>
      <w:r>
        <w:rPr>
          <w:b/>
        </w:rPr>
        <w:t>158 pruebas de seguridad</w:t>
      </w:r>
      <w:r>
        <w:rPr/>
        <w:t xml:space="preserve"> que se ejecutan en cada build.</w:t>
      </w:r>
    </w:p>
    <w:p>
      <w:pPr>
        <w:pStyle w:val="ListBullet"/>
        <w:spacing w:after="60"/>
      </w:pPr>
      <w:r>
        <w:rPr/>
        <w:t xml:space="preserve">Los controles de </w:t>
      </w:r>
      <w:r>
        <w:rPr>
          <w:b/>
        </w:rPr>
        <w:t>autorización</w:t>
      </w:r>
      <w:r>
        <w:rPr/>
        <w:t xml:space="preserve"> (IDOR, mass assignment, abuso de flujo) y de </w:t>
      </w:r>
      <w:r>
        <w:rPr>
          <w:b/>
        </w:rPr>
        <w:t>neutralización</w:t>
      </w:r>
      <w:r>
        <w:rPr/>
        <w:t xml:space="preserve"> (XSS, inyección, prototype pollution) ya eran sólidos y quedaron verificados con mutaciones.</w:t>
      </w:r>
    </w:p>
    <w:p>
      <w:pPr>
        <w:pStyle w:val="ListBullet"/>
        <w:spacing w:after="60"/>
      </w:pPr>
      <w:r>
        <w:rPr/>
        <w:t xml:space="preserve">Se corrigieron un </w:t>
      </w:r>
      <w:r>
        <w:rPr>
          <w:b/>
        </w:rPr>
        <w:t>bypass de 2FA</w:t>
      </w:r>
      <w:r>
        <w:rPr/>
        <w:t xml:space="preserve"> (SEC-01), el </w:t>
      </w:r>
      <w:r>
        <w:rPr>
          <w:b/>
        </w:rPr>
        <w:t>uso del enlace de recuperación como acceso</w:t>
      </w:r>
      <w:r>
        <w:rPr/>
        <w:t xml:space="preserve"> (SEC-02) y la </w:t>
      </w:r>
      <w:r>
        <w:rPr>
          <w:b/>
        </w:rPr>
        <w:t>conversión forzada de montos</w:t>
      </w:r>
      <w:r>
        <w:rPr/>
        <w:t xml:space="preserve"> (SEC-03/04), sin regresiones en el resto de la app.</w:t>
      </w:r>
    </w:p>
    <w:p>
      <w:pPr>
        <w:pStyle w:val="ListBullet"/>
        <w:spacing w:after="60"/>
      </w:pPr>
      <w:r>
        <w:rPr/>
        <w:t>Quedan cuatro hallazgos de severidad media o baja, con recomendación concreta y prueba preparada.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Pruebas de seguridad — Bolsillos · FuBanking · pág. </w:t>
    </w:r>
    <w:r>
      <w:rPr>
        <w:color w:val="595959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de Seguridad — Bolsillos y Depósito (FuBanking)</dc:title>
  <dc:subject>Validación y Verificación de Software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