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4E79"/>
          <w:sz w:val="40"/>
        </w:rPr>
        <w:t xml:space="preserve">Pruebas de Performance — Módulo </w:t>
      </w:r>
      <w:r>
        <w:rPr>
          <w:b/>
          <w:color w:val="1F4E79"/>
          <w:sz w:val="40"/>
        </w:rPr>
        <w:t>Bolsillos</w:t>
      </w:r>
      <w:r>
        <w:rPr>
          <w:b/>
          <w:color w:val="1F4E79"/>
          <w:sz w:val="40"/>
        </w:rPr>
        <w:t xml:space="preserve"> y </w:t>
      </w:r>
      <w:r>
        <w:rPr>
          <w:b/>
          <w:color w:val="1F4E79"/>
          <w:sz w:val="40"/>
        </w:rPr>
        <w:t>Depósito</w:t>
      </w:r>
      <w:r>
        <w:rPr>
          <w:b/>
          <w:color w:val="1F4E79"/>
          <w:sz w:val="40"/>
        </w:rPr>
        <w:t xml:space="preserve"> (FuBanking)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6340"/>
      </w:tblGrid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Asignatura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Validación y Verificación de Software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Proyecto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FuBanking — Banco digital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Alcance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Bolsillos (5 funcionalidades) + Depositar dinero (módulo Cuentas)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Fase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Pruebas de performance (tiempos de respuesta con presupuesto)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Rama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tests/bolsillos-regresion-fluent</w:t>
            </w:r>
          </w:p>
        </w:tc>
      </w:tr>
      <w:tr>
        <w:trPr>
          <w:cantSplit w:val="true"/>
        </w:trPr>
        <w:tc>
          <w:tcPr>
            <w:tcW w:type="dxa" w:w="230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Fecha</w:t>
            </w:r>
          </w:p>
        </w:tc>
        <w:tc>
          <w:tcPr>
            <w:tcW w:type="dxa" w:w="6340"/>
          </w:tcPr>
          <w:p>
            <w:pPr>
              <w:spacing w:after="0"/>
              <w:jc w:val="left"/>
            </w:pPr>
            <w:r>
              <w:rPr>
                <w:sz w:val="19"/>
              </w:rPr>
              <w:t>2026-10-06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1. Objetivo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Medir el </w:t>
      </w:r>
      <w:r>
        <w:rPr>
          <w:b/>
        </w:rPr>
        <w:t>tiempo de respuesta</w:t>
      </w:r>
      <w:r>
        <w:rPr/>
        <w:t xml:space="preserve"> de las seis funcionalidades contra un </w:t>
      </w:r>
      <w:r>
        <w:rPr>
          <w:b/>
        </w:rPr>
        <w:t>presupuesto explícito</w:t>
      </w:r>
      <w:r>
        <w:rPr/>
        <w:t xml:space="preserve"> de mediana (p50) y percentil 95 (p95).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Verificar cómo </w:t>
      </w:r>
      <w:r>
        <w:rPr>
          <w:b/>
        </w:rPr>
        <w:t>escala</w:t>
      </w:r>
      <w:r>
        <w:rPr/>
        <w:t xml:space="preserve"> la consulta con 1.000 bolsillos y cuánto tarda un </w:t>
      </w:r>
      <w:r>
        <w:rPr>
          <w:b/>
        </w:rPr>
        <w:t>recorrido completo</w:t>
      </w:r>
      <w:r>
        <w:rPr/>
        <w:t xml:space="preserve"> del usuario (5 peticiones encadenadas).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 xml:space="preserve">Demostrar que la suite </w:t>
      </w:r>
      <w:r>
        <w:rPr>
          <w:b/>
        </w:rPr>
        <w:t>detecta un deterioro real</w:t>
      </w:r>
      <w:r>
        <w:rPr/>
        <w:t>: si una operación se vuelve lenta, la prueba falla con un mensaje claro.</w:t>
      </w:r>
    </w:p>
    <w:p>
      <w:pPr>
        <w:pStyle w:val="ListNumber"/>
        <w:numPr>
          <w:ilvl w:val="0"/>
          <w:numId w:val="10"/>
        </w:numPr>
        <w:spacing w:after="60"/>
      </w:pPr>
      <w:r>
        <w:rPr/>
        <w:t>Dejar las pruebas dentro del pipeline de Jenkins, junto con la regresión y las unitarias.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2. Alcance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"/>
        <w:gridCol w:w="2453"/>
        <w:gridCol w:w="4467"/>
        <w:gridCol w:w="1223"/>
      </w:tblGrid>
      <w:tr>
        <w:trPr>
          <w:cantSplit w:val="true"/>
          <w:tblHeader w:val="true"/>
        </w:trPr>
        <w:tc>
          <w:tcPr>
            <w:tcW w:type="dxa" w:w="497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245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Funcionalidad</w:t>
            </w:r>
          </w:p>
        </w:tc>
        <w:tc>
          <w:tcPr>
            <w:tcW w:type="dxa" w:w="4467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Método y ruta</w:t>
            </w:r>
          </w:p>
        </w:tc>
        <w:tc>
          <w:tcPr>
            <w:tcW w:type="dxa" w:w="122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Crear bolsillo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/api/v1/pockets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PF-01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bolsillos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GET /api/v1/pockets/account/:accountId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PF-02, PF-07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Actualizar bolsillo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PATCH /api/v1/pockets/:pocketId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PF-03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bolsillo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DELETE /api/v1/pockets/:pocketId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PF-04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entre bolsillos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/api/v1/pockets/transfer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PF-05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dinero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POST /api/v1/accounts/:id/deposit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PF-06</w:t>
            </w:r>
          </w:p>
        </w:tc>
      </w:tr>
      <w:tr>
        <w:trPr>
          <w:cantSplit w:val="true"/>
        </w:trPr>
        <w:tc>
          <w:tcPr>
            <w:tcW w:type="dxa" w:w="497"/>
          </w:tcPr>
          <w:p>
            <w:pPr>
              <w:spacing w:after="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type="dxa" w:w="2453"/>
          </w:tcPr>
          <w:p>
            <w:pPr>
              <w:spacing w:after="0"/>
              <w:jc w:val="left"/>
            </w:pPr>
            <w:r>
              <w:rPr>
                <w:sz w:val="19"/>
              </w:rPr>
              <w:t>Recorrido completo de 5 peticiones</w:t>
            </w:r>
          </w:p>
        </w:tc>
        <w:tc>
          <w:tcPr>
            <w:tcW w:type="dxa" w:w="4467"/>
          </w:tcPr>
          <w:p>
            <w:pPr>
              <w:spacing w:after="0"/>
              <w:jc w:val="left"/>
            </w:pPr>
            <w:r>
              <w:rPr>
                <w:sz w:val="19"/>
              </w:rPr>
              <w:t>crear → consultar → actualizar → transferir → eliminar</w:t>
            </w:r>
          </w:p>
        </w:tc>
        <w:tc>
          <w:tcPr>
            <w:tcW w:type="dxa" w:w="1223"/>
          </w:tcPr>
          <w:p>
            <w:pPr>
              <w:spacing w:after="0"/>
              <w:jc w:val="left"/>
            </w:pPr>
            <w:r>
              <w:rPr>
                <w:sz w:val="19"/>
              </w:rPr>
              <w:t>PF-08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3. Qué se mide y qué no</w:t>
      </w:r>
    </w:p>
    <w:p>
      <w:r>
        <w:rPr>
          <w:b/>
        </w:rPr>
        <w:t>Qué se mide.</w:t>
      </w:r>
      <w:r>
        <w:rPr/>
        <w:t xml:space="preserve"> Peticiones HTTP </w:t>
      </w:r>
      <w:r>
        <w:rPr>
          <w:b/>
        </w:rPr>
        <w:t>reales</w:t>
      </w:r>
      <w:r>
        <w:rPr/>
        <w:t xml:space="preserve"> (puerto efímero en </w:t>
      </w:r>
      <w:r>
        <w:rPr>
          <w:rFonts w:ascii="Consolas" w:hAnsi="Consolas"/>
          <w:b w:val="0"/>
          <w:color w:val="8B1E3F"/>
          <w:sz w:val="19"/>
        </w:rPr>
        <w:t>127.0.0.1</w:t>
      </w:r>
      <w:r>
        <w:rPr/>
        <w:t xml:space="preserve">, conexiones keep-alive) contra la misma app Express de la regresión: </w:t>
      </w:r>
      <w:r>
        <w:rPr>
          <w:rFonts w:ascii="Consolas" w:hAnsi="Consolas"/>
          <w:b w:val="0"/>
          <w:color w:val="8B1E3F"/>
          <w:sz w:val="19"/>
        </w:rPr>
        <w:t>authMiddleware</w:t>
      </w:r>
      <w:r>
        <w:rPr/>
        <w:t xml:space="preserve"> con JWT real, validadores zod, controladores, casos de uso y manejador de errores reales. Solo la persistencia va en memoria. Se mide el </w:t>
      </w:r>
      <w:r>
        <w:rPr>
          <w:b/>
        </w:rPr>
        <w:t>costo del código de la aplicación</w:t>
      </w:r>
      <w:r>
        <w:rPr/>
        <w:t>: autenticación, validación, lógica y serialización.</w:t>
      </w:r>
    </w:p>
    <w:p>
      <w:r>
        <w:rPr>
          <w:b/>
        </w:rPr>
        <w:t>Qué no se mide.</w:t>
      </w:r>
    </w:p>
    <w:p>
      <w:pPr>
        <w:pStyle w:val="ListBullet"/>
        <w:spacing w:after="60"/>
      </w:pPr>
      <w:r>
        <w:rPr>
          <w:b/>
        </w:rPr>
        <w:t>Latencia de red ni de Supabase.</w:t>
      </w:r>
      <w:r>
        <w:rPr/>
        <w:t xml:space="preserve"> En producción los tiempos serán mayores; estas pruebas detectan que </w:t>
      </w:r>
      <w:r>
        <w:rPr>
          <w:i/>
        </w:rPr>
        <w:t>el código</w:t>
      </w:r>
      <w:r>
        <w:rPr/>
        <w:t xml:space="preserve"> no se vuelva lento, no estiman la latencia de punta a punta.</w:t>
      </w:r>
    </w:p>
    <w:p>
      <w:pPr>
        <w:pStyle w:val="ListBullet"/>
        <w:spacing w:after="60"/>
      </w:pPr>
      <w:r>
        <w:rPr>
          <w:b/>
        </w:rPr>
        <w:t>Carga concurrente ni estrés.</w:t>
      </w:r>
      <w:r>
        <w:rPr/>
        <w:t xml:space="preserve"> Las peticiones son secuenciales (ver sección 10).</w:t>
      </w:r>
    </w:p>
    <w:p>
      <w:pPr>
        <w:pStyle w:val="ListBullet"/>
        <w:spacing w:after="60"/>
      </w:pPr>
      <w:r>
        <w:rPr>
          <w:b/>
        </w:rPr>
        <w:t>Consumo de CPU y memoria.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4. Metodología</w:t>
      </w:r>
    </w:p>
    <w:p>
      <w:r>
        <w:rPr/>
        <w:t>El arnés (</w:t>
      </w:r>
      <w:r>
        <w:rPr>
          <w:rFonts w:ascii="Consolas" w:hAnsi="Consolas"/>
          <w:b w:val="0"/>
          <w:color w:val="8B1E3F"/>
          <w:sz w:val="19"/>
        </w:rPr>
        <w:t>tests/performance/pocket/support/harness.ts</w:t>
      </w:r>
      <w:r>
        <w:rPr/>
        <w:t>) funciona así: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onsolas" w:hAnsi="Consolas"/>
          <w:b/>
          <w:color w:val="8B1E3F"/>
          <w:sz w:val="19"/>
        </w:rPr>
        <w:t>listen(app)</w:t>
      </w:r>
      <w:r>
        <w:rPr/>
        <w:t xml:space="preserve"> levanta la app en un puerto libre y la cierra al terminar cada prueba.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onsolas" w:hAnsi="Consolas"/>
          <w:b/>
          <w:color w:val="8B1E3F"/>
          <w:sz w:val="19"/>
        </w:rPr>
        <w:t>measure(...)</w:t>
      </w:r>
      <w:r>
        <w:rPr/>
        <w:t xml:space="preserve"> ejecuta la operación </w:t>
      </w:r>
      <w:r>
        <w:rPr>
          <w:b/>
        </w:rPr>
        <w:t>5 veces de calentamiento</w:t>
      </w:r>
      <w:r>
        <w:rPr/>
        <w:t xml:space="preserve"> (descartadas: compilación JIT, conexiones) y </w:t>
      </w:r>
      <w:r>
        <w:rPr>
          <w:b/>
        </w:rPr>
        <w:t>30 repeticiones medidas</w:t>
      </w:r>
      <w:r>
        <w:rPr/>
        <w:t xml:space="preserve"> con </w:t>
      </w:r>
      <w:r>
        <w:rPr>
          <w:rFonts w:ascii="Consolas" w:hAnsi="Consolas"/>
          <w:b w:val="0"/>
          <w:color w:val="8B1E3F"/>
          <w:sz w:val="19"/>
        </w:rPr>
        <w:t>performance.now()</w:t>
      </w:r>
      <w:r>
        <w:rPr/>
        <w:t>. El tiempo incluye recibir la respuesta completa.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b/>
        </w:rPr>
        <w:t>Correctitud primero.</w:t>
      </w:r>
      <w:r>
        <w:rPr/>
        <w:t xml:space="preserve"> Cada respuesta debe traer el código HTTP esperado: una operación rápida pero incorrecta </w:t>
      </w:r>
      <w:r>
        <w:rPr>
          <w:b/>
        </w:rPr>
        <w:t>no aprueba</w:t>
      </w:r>
      <w:r>
        <w:rPr/>
        <w:t>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rFonts w:ascii="Consolas" w:hAnsi="Consolas"/>
          <w:b/>
          <w:color w:val="8B1E3F"/>
          <w:sz w:val="19"/>
        </w:rPr>
        <w:t>prepare</w:t>
      </w:r>
      <w:r>
        <w:rPr/>
        <w:t xml:space="preserve"> deja el estado listo </w:t>
      </w:r>
      <w:r>
        <w:rPr>
          <w:b/>
        </w:rPr>
        <w:t>fuera</w:t>
      </w:r>
      <w:r>
        <w:rPr/>
        <w:t xml:space="preserve"> del tiempo medido (por ejemplo, sembrar el bolsillo que se va a eliminar).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b/>
        </w:rPr>
        <w:t>Percentil por rango más cercano</w:t>
      </w:r>
      <w:r>
        <w:rPr/>
        <w:t xml:space="preserve"> (</w:t>
      </w:r>
      <w:r>
        <w:rPr>
          <w:i/>
        </w:rPr>
        <w:t>nearest-rank</w:t>
      </w:r>
      <w:r>
        <w:rPr/>
        <w:t>): p50 es la mediana y p95 el valor bajo el cual queda el 95 % de las muestras.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b/>
        </w:rPr>
        <w:t>Tope de medición de 15 s.</w:t>
      </w:r>
      <w:r>
        <w:rPr/>
        <w:t xml:space="preserve"> Si una operación está muy por encima del presupuesto no se sigue midiendo; la prueba falla con el mensaje del presupuesto, no por timeout.</w:t>
      </w:r>
    </w:p>
    <w:p>
      <w:r>
        <w:rPr>
          <w:b/>
        </w:rPr>
        <w:t>Aprueba si:</w:t>
      </w:r>
      <w:r>
        <w:rPr/>
        <w:t xml:space="preserve"> cero respuestas con código inesperado, </w:t>
      </w:r>
      <w:r>
        <w:rPr>
          <w:rFonts w:ascii="Consolas" w:hAnsi="Consolas"/>
          <w:b w:val="0"/>
          <w:color w:val="8B1E3F"/>
          <w:sz w:val="19"/>
        </w:rPr>
        <w:t>p50 ≤</w:t>
      </w:r>
      <w:r>
        <w:rPr/>
        <w:t xml:space="preserve"> presupuesto y </w:t>
      </w:r>
      <w:r>
        <w:rPr>
          <w:rFonts w:ascii="Consolas" w:hAnsi="Consolas"/>
          <w:b w:val="0"/>
          <w:color w:val="8B1E3F"/>
          <w:sz w:val="19"/>
        </w:rPr>
        <w:t>p95 ≤</w:t>
      </w:r>
      <w:r>
        <w:rPr/>
        <w:t xml:space="preserve"> presupuesto. Se usan mediana y p95 y no el promedio porque el promedio lo distorsiona un valor atípico y oculta la cola lenta.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5. Catálogo de casos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89"/>
        <w:gridCol w:w="2748"/>
        <w:gridCol w:w="1624"/>
        <w:gridCol w:w="1596"/>
        <w:gridCol w:w="1783"/>
      </w:tblGrid>
      <w:tr>
        <w:trPr>
          <w:cantSplit w:val="true"/>
          <w:tblHeader w:val="true"/>
        </w:trPr>
        <w:tc>
          <w:tcPr>
            <w:tcW w:type="dxa" w:w="889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274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1624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Repeticiones</w:t>
            </w:r>
          </w:p>
        </w:tc>
        <w:tc>
          <w:tcPr>
            <w:tcW w:type="dxa" w:w="159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Código esperado</w:t>
            </w:r>
          </w:p>
        </w:tc>
        <w:tc>
          <w:tcPr>
            <w:tcW w:type="dxa" w:w="1783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Presupuesto p50 / p95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PF-01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Crear bolsillo (monto 1)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201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100 / 300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PF-02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Consultar bolsillos de la cuenta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100 / 300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PF-03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Actualizar bolsillo (nombre y monto alternante)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100 / 300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PF-04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Eliminar bolsillo (se siembra uno por repetición)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100 / 300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PF-05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Transferir 1 peso entre bolsillos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100 / 300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PF-06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Depositar $1.000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100 / 300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PF-07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Consultar una cuenta con </w:t>
            </w:r>
            <w:r>
              <w:rPr>
                <w:b/>
                <w:sz w:val="19"/>
              </w:rPr>
              <w:t>1.000 bolsillos</w:t>
            </w:r>
            <w:r>
              <w:rPr>
                <w:sz w:val="19"/>
              </w:rPr>
              <w:t xml:space="preserve"> (~150 KB de JSON)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150 / 400 ms</w:t>
            </w:r>
          </w:p>
        </w:tc>
      </w:tr>
      <w:tr>
        <w:trPr>
          <w:cantSplit w:val="true"/>
        </w:trPr>
        <w:tc>
          <w:tcPr>
            <w:tcW w:type="dxa" w:w="889"/>
          </w:tcPr>
          <w:p>
            <w:pPr>
              <w:spacing w:after="0"/>
              <w:jc w:val="left"/>
            </w:pPr>
            <w:r>
              <w:rPr>
                <w:sz w:val="19"/>
              </w:rPr>
              <w:t>PF-08</w:t>
            </w:r>
          </w:p>
        </w:tc>
        <w:tc>
          <w:tcPr>
            <w:tcW w:type="dxa" w:w="2748"/>
          </w:tcPr>
          <w:p>
            <w:pPr>
              <w:spacing w:after="0"/>
              <w:jc w:val="left"/>
            </w:pPr>
            <w:r>
              <w:rPr>
                <w:sz w:val="19"/>
              </w:rPr>
              <w:t>Recorrido de 5 peticiones encadenadas</w:t>
            </w:r>
          </w:p>
        </w:tc>
        <w:tc>
          <w:tcPr>
            <w:tcW w:type="dxa" w:w="1624"/>
          </w:tcPr>
          <w:p>
            <w:pPr>
              <w:spacing w:after="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1596"/>
          </w:tcPr>
          <w:p>
            <w:pPr>
              <w:spacing w:after="0"/>
              <w:jc w:val="center"/>
            </w:pPr>
            <w:r>
              <w:rPr>
                <w:sz w:val="19"/>
              </w:rPr>
              <w:t>201, 200, 200, 200, 200</w:t>
            </w:r>
          </w:p>
        </w:tc>
        <w:tc>
          <w:tcPr>
            <w:tcW w:type="dxa" w:w="1783"/>
          </w:tcPr>
          <w:p>
            <w:pPr>
              <w:spacing w:after="0"/>
              <w:jc w:val="left"/>
            </w:pPr>
            <w:r>
              <w:rPr>
                <w:sz w:val="19"/>
              </w:rPr>
              <w:t>250 / 600 ms</w:t>
            </w:r>
          </w:p>
        </w:tc>
      </w:tr>
    </w:tbl>
    <w:p>
      <w:pPr>
        <w:spacing w:after="40"/>
      </w:pP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6. Resultados</w:t>
      </w:r>
    </w:p>
    <w:p>
      <w:r>
        <w:rPr/>
        <w:t>Corrida normal (</w:t>
      </w:r>
      <w:r>
        <w:rPr>
          <w:rFonts w:ascii="Consolas" w:hAnsi="Consolas"/>
          <w:b w:val="0"/>
          <w:color w:val="8B1E3F"/>
          <w:sz w:val="19"/>
        </w:rPr>
        <w:t>01-ejecucion-normal.txt</w:t>
      </w:r>
      <w:r>
        <w:rPr/>
        <w:t>), tiempos en milisegundos: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2"/>
        <w:gridCol w:w="546"/>
        <w:gridCol w:w="756"/>
        <w:gridCol w:w="861"/>
        <w:gridCol w:w="756"/>
        <w:gridCol w:w="756"/>
        <w:gridCol w:w="756"/>
        <w:gridCol w:w="689"/>
        <w:gridCol w:w="689"/>
        <w:gridCol w:w="969"/>
      </w:tblGrid>
      <w:tr>
        <w:trPr>
          <w:cantSplit w:val="true"/>
          <w:tblHeader w:val="true"/>
        </w:trPr>
        <w:tc>
          <w:tcPr>
            <w:tcW w:type="dxa" w:w="186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Operación</w:t>
            </w:r>
          </w:p>
        </w:tc>
        <w:tc>
          <w:tcPr>
            <w:tcW w:type="dxa" w:w="54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n</w:t>
            </w:r>
          </w:p>
        </w:tc>
        <w:tc>
          <w:tcPr>
            <w:tcW w:type="dxa" w:w="75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min</w:t>
            </w:r>
          </w:p>
        </w:tc>
        <w:tc>
          <w:tcPr>
            <w:tcW w:type="dxa" w:w="861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media</w:t>
            </w:r>
          </w:p>
        </w:tc>
        <w:tc>
          <w:tcPr>
            <w:tcW w:type="dxa" w:w="75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p50</w:t>
            </w:r>
          </w:p>
        </w:tc>
        <w:tc>
          <w:tcPr>
            <w:tcW w:type="dxa" w:w="75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p95</w:t>
            </w:r>
          </w:p>
        </w:tc>
        <w:tc>
          <w:tcPr>
            <w:tcW w:type="dxa" w:w="756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máx</w:t>
            </w:r>
          </w:p>
        </w:tc>
        <w:tc>
          <w:tcPr>
            <w:tcW w:type="dxa" w:w="68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p50 ≤</w:t>
            </w:r>
          </w:p>
        </w:tc>
        <w:tc>
          <w:tcPr>
            <w:tcW w:type="dxa" w:w="68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p95 ≤</w:t>
            </w:r>
          </w:p>
        </w:tc>
        <w:tc>
          <w:tcPr>
            <w:tcW w:type="dxa" w:w="969"/>
            <w:shd w:val="clear" w:color="auto" w:fill="EAF1F8"/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PF-01 Crear bolsillo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1,48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2,06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1,84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3,26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3,49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PF-02 Consultar bolsillos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1,11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1,28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1,28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1,52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1,53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PF-03 Actualizar bolsillo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1,26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1,46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1,44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1,74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1,76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PF-04 Eliminar bolsillo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1,05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1,23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1,21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1,45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1,47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PF-05 Transferir entre bolsillos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1,30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1,65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1,49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3,14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4,51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PF-06 Depositar dinero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1,18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1,57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1,34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2,21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5,41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100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300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PF-07 Consultar con 1.000 bolsillos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4,63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5,03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4,78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5,72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8,54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150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400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  <w:tr>
        <w:trPr>
          <w:cantSplit w:val="true"/>
        </w:trPr>
        <w:tc>
          <w:tcPr>
            <w:tcW w:type="dxa" w:w="1862"/>
          </w:tcPr>
          <w:p>
            <w:pPr>
              <w:spacing w:after="0"/>
              <w:jc w:val="left"/>
            </w:pPr>
            <w:r>
              <w:rPr>
                <w:sz w:val="19"/>
              </w:rPr>
              <w:t>PF-08 Recorrido de 5 peticiones</w:t>
            </w:r>
          </w:p>
        </w:tc>
        <w:tc>
          <w:tcPr>
            <w:tcW w:type="dxa" w:w="546"/>
          </w:tcPr>
          <w:p>
            <w:pPr>
              <w:spacing w:after="0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5,34</w:t>
            </w:r>
          </w:p>
        </w:tc>
        <w:tc>
          <w:tcPr>
            <w:tcW w:type="dxa" w:w="861"/>
          </w:tcPr>
          <w:p>
            <w:pPr>
              <w:spacing w:after="0"/>
              <w:jc w:val="center"/>
            </w:pPr>
            <w:r>
              <w:rPr>
                <w:sz w:val="19"/>
              </w:rPr>
              <w:t>6,39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6,11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9,95</w:t>
            </w:r>
          </w:p>
        </w:tc>
        <w:tc>
          <w:tcPr>
            <w:tcW w:type="dxa" w:w="756"/>
          </w:tcPr>
          <w:p>
            <w:pPr>
              <w:spacing w:after="0"/>
              <w:jc w:val="center"/>
            </w:pPr>
            <w:r>
              <w:rPr>
                <w:sz w:val="19"/>
              </w:rPr>
              <w:t>9,95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250</w:t>
            </w:r>
          </w:p>
        </w:tc>
        <w:tc>
          <w:tcPr>
            <w:tcW w:type="dxa" w:w="689"/>
          </w:tcPr>
          <w:p>
            <w:pPr>
              <w:spacing w:after="0"/>
              <w:jc w:val="center"/>
            </w:pPr>
            <w:r>
              <w:rPr>
                <w:sz w:val="19"/>
              </w:rPr>
              <w:t>600</w:t>
            </w:r>
          </w:p>
        </w:tc>
        <w:tc>
          <w:tcPr>
            <w:tcW w:type="dxa" w:w="969"/>
          </w:tcPr>
          <w:p>
            <w:pPr>
              <w:spacing w:after="0"/>
              <w:jc w:val="center"/>
            </w:pPr>
            <w:r>
              <w:rPr>
                <w:sz w:val="19"/>
              </w:rPr>
              <w:t>✅</w:t>
            </w:r>
          </w:p>
        </w:tc>
      </w:tr>
    </w:tbl>
    <w:p>
      <w:pPr>
        <w:spacing w:after="40"/>
      </w:pPr>
    </w:p>
    <w:p>
      <w:r>
        <w:rPr>
          <w:b/>
        </w:rPr>
        <w:t>Repetibilidad.</w:t>
      </w:r>
      <w:r>
        <w:rPr/>
        <w:t xml:space="preserve"> En varias corridas, incluida una con cobertura de código activa (que ralentiza la ejecución), las medianas de una sola petición estuvieron entre </w:t>
      </w:r>
      <w:r>
        <w:rPr>
          <w:b/>
        </w:rPr>
        <w:t>1,2 y 5,5 ms</w:t>
      </w:r>
      <w:r>
        <w:rPr/>
        <w:t xml:space="preserve">, la consulta con 1.000 bolsillos entre </w:t>
      </w:r>
      <w:r>
        <w:rPr>
          <w:b/>
        </w:rPr>
        <w:t>4,8 y 9,1 ms</w:t>
      </w:r>
      <w:r>
        <w:rPr/>
        <w:t xml:space="preserve"> y el recorrido de 5 peticiones entre </w:t>
      </w:r>
      <w:r>
        <w:rPr>
          <w:b/>
        </w:rPr>
        <w:t>6,1 y 12,9 ms</w:t>
      </w:r>
      <w:r>
        <w:rPr/>
        <w:t>.</w:t>
      </w:r>
    </w:p>
    <w:p>
      <w:r>
        <w:rPr>
          <w:b/>
        </w:rPr>
        <w:t>Escalabilidad (PF-07).</w:t>
      </w:r>
      <w:r>
        <w:rPr/>
        <w:t xml:space="preserve"> Con 1.000 bolsillos la consulta tarda ≈ 5 ms, frente a ≈ 1,3 ms con 2: crece con el tamaño de la respuesta, pero muy lejos del presupuesto.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7. Presupuestos y holgura</w:t>
      </w:r>
    </w:p>
    <w:p>
      <w:r>
        <w:rPr/>
        <w:t xml:space="preserve">Los presupuestos son </w:t>
      </w:r>
      <w:r>
        <w:rPr>
          <w:b/>
        </w:rPr>
        <w:t>educativos y deliberadamente holgados</w:t>
      </w:r>
      <w:r>
        <w:rPr/>
        <w:t>, en el espíritu del presupuesto de Créditos del equipo (</w:t>
      </w:r>
      <w:r>
        <w:rPr>
          <w:i/>
        </w:rPr>
        <w:t>presupuesto explícito + mediana</w:t>
      </w:r>
      <w:r>
        <w:rPr/>
        <w:t xml:space="preserve">). La suite corre en cada build de Jenkins, donde el hardware es más lento y la cobertura ralentiza la ejecución; un presupuesto ajustado daría </w:t>
      </w:r>
      <w:r>
        <w:rPr>
          <w:b/>
        </w:rPr>
        <w:t>falsos positivos</w:t>
      </w:r>
      <w:r>
        <w:rPr/>
        <w:t xml:space="preserve"> y se acabaría ignorando.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1"/>
        <w:gridCol w:w="1992"/>
        <w:gridCol w:w="2432"/>
        <w:gridCol w:w="1285"/>
      </w:tblGrid>
      <w:tr>
        <w:trPr>
          <w:cantSplit w:val="true"/>
          <w:tblHeader w:val="true"/>
        </w:trPr>
        <w:tc>
          <w:tcPr>
            <w:tcW w:type="dxa" w:w="293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Caso</w:t>
            </w:r>
          </w:p>
        </w:tc>
        <w:tc>
          <w:tcPr>
            <w:tcW w:type="dxa" w:w="199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Presupuesto p50</w:t>
            </w:r>
          </w:p>
        </w:tc>
        <w:tc>
          <w:tcPr>
            <w:tcW w:type="dxa" w:w="243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Peor mediana observada</w:t>
            </w:r>
          </w:p>
        </w:tc>
        <w:tc>
          <w:tcPr>
            <w:tcW w:type="dxa" w:w="128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Holgura</w:t>
            </w:r>
          </w:p>
        </w:tc>
      </w:tr>
      <w:tr>
        <w:trPr>
          <w:cantSplit w:val="true"/>
        </w:trPr>
        <w:tc>
          <w:tcPr>
            <w:tcW w:type="dxa" w:w="2931"/>
          </w:tcPr>
          <w:p>
            <w:pPr>
              <w:spacing w:after="0"/>
              <w:jc w:val="left"/>
            </w:pPr>
            <w:r>
              <w:rPr>
                <w:sz w:val="19"/>
              </w:rPr>
              <w:t>PF-01 a PF-06 (una petición)</w:t>
            </w:r>
          </w:p>
        </w:tc>
        <w:tc>
          <w:tcPr>
            <w:tcW w:type="dxa" w:w="1992"/>
          </w:tcPr>
          <w:p>
            <w:pPr>
              <w:spacing w:after="0"/>
              <w:jc w:val="left"/>
            </w:pPr>
            <w:r>
              <w:rPr>
                <w:sz w:val="19"/>
              </w:rPr>
              <w:t>100 ms</w:t>
            </w:r>
          </w:p>
        </w:tc>
        <w:tc>
          <w:tcPr>
            <w:tcW w:type="dxa" w:w="2432"/>
          </w:tcPr>
          <w:p>
            <w:pPr>
              <w:spacing w:after="0"/>
              <w:jc w:val="left"/>
            </w:pPr>
            <w:r>
              <w:rPr>
                <w:sz w:val="19"/>
              </w:rPr>
              <w:t>5,5 ms</w:t>
            </w:r>
          </w:p>
        </w:tc>
        <w:tc>
          <w:tcPr>
            <w:tcW w:type="dxa" w:w="1285"/>
          </w:tcPr>
          <w:p>
            <w:pPr>
              <w:spacing w:after="0"/>
              <w:jc w:val="left"/>
            </w:pPr>
            <w:r>
              <w:rPr>
                <w:sz w:val="19"/>
              </w:rPr>
              <w:t>≈ 18×</w:t>
            </w:r>
          </w:p>
        </w:tc>
      </w:tr>
      <w:tr>
        <w:trPr>
          <w:cantSplit w:val="true"/>
        </w:trPr>
        <w:tc>
          <w:tcPr>
            <w:tcW w:type="dxa" w:w="2931"/>
          </w:tcPr>
          <w:p>
            <w:pPr>
              <w:spacing w:after="0"/>
              <w:jc w:val="left"/>
            </w:pPr>
            <w:r>
              <w:rPr>
                <w:sz w:val="19"/>
              </w:rPr>
              <w:t>PF-07 (1.000 bolsillos)</w:t>
            </w:r>
          </w:p>
        </w:tc>
        <w:tc>
          <w:tcPr>
            <w:tcW w:type="dxa" w:w="1992"/>
          </w:tcPr>
          <w:p>
            <w:pPr>
              <w:spacing w:after="0"/>
              <w:jc w:val="left"/>
            </w:pPr>
            <w:r>
              <w:rPr>
                <w:sz w:val="19"/>
              </w:rPr>
              <w:t>150 ms</w:t>
            </w:r>
          </w:p>
        </w:tc>
        <w:tc>
          <w:tcPr>
            <w:tcW w:type="dxa" w:w="2432"/>
          </w:tcPr>
          <w:p>
            <w:pPr>
              <w:spacing w:after="0"/>
              <w:jc w:val="left"/>
            </w:pPr>
            <w:r>
              <w:rPr>
                <w:sz w:val="19"/>
              </w:rPr>
              <w:t>9,1 ms</w:t>
            </w:r>
          </w:p>
        </w:tc>
        <w:tc>
          <w:tcPr>
            <w:tcW w:type="dxa" w:w="1285"/>
          </w:tcPr>
          <w:p>
            <w:pPr>
              <w:spacing w:after="0"/>
              <w:jc w:val="left"/>
            </w:pPr>
            <w:r>
              <w:rPr>
                <w:sz w:val="19"/>
              </w:rPr>
              <w:t>≈ 16×</w:t>
            </w:r>
          </w:p>
        </w:tc>
      </w:tr>
      <w:tr>
        <w:trPr>
          <w:cantSplit w:val="true"/>
        </w:trPr>
        <w:tc>
          <w:tcPr>
            <w:tcW w:type="dxa" w:w="2931"/>
          </w:tcPr>
          <w:p>
            <w:pPr>
              <w:spacing w:after="0"/>
              <w:jc w:val="left"/>
            </w:pPr>
            <w:r>
              <w:rPr>
                <w:sz w:val="19"/>
              </w:rPr>
              <w:t>PF-08 (recorrido)</w:t>
            </w:r>
          </w:p>
        </w:tc>
        <w:tc>
          <w:tcPr>
            <w:tcW w:type="dxa" w:w="1992"/>
          </w:tcPr>
          <w:p>
            <w:pPr>
              <w:spacing w:after="0"/>
              <w:jc w:val="left"/>
            </w:pPr>
            <w:r>
              <w:rPr>
                <w:sz w:val="19"/>
              </w:rPr>
              <w:t>250 ms</w:t>
            </w:r>
          </w:p>
        </w:tc>
        <w:tc>
          <w:tcPr>
            <w:tcW w:type="dxa" w:w="2432"/>
          </w:tcPr>
          <w:p>
            <w:pPr>
              <w:spacing w:after="0"/>
              <w:jc w:val="left"/>
            </w:pPr>
            <w:r>
              <w:rPr>
                <w:sz w:val="19"/>
              </w:rPr>
              <w:t>12,9 ms</w:t>
            </w:r>
          </w:p>
        </w:tc>
        <w:tc>
          <w:tcPr>
            <w:tcW w:type="dxa" w:w="1285"/>
          </w:tcPr>
          <w:p>
            <w:pPr>
              <w:spacing w:after="0"/>
              <w:jc w:val="left"/>
            </w:pPr>
            <w:r>
              <w:rPr>
                <w:sz w:val="19"/>
              </w:rPr>
              <w:t>≈ 19×</w:t>
            </w:r>
          </w:p>
        </w:tc>
      </w:tr>
    </w:tbl>
    <w:p>
      <w:pPr>
        <w:spacing w:after="40"/>
      </w:pPr>
    </w:p>
    <w:p>
      <w:r>
        <w:rPr/>
        <w:t xml:space="preserve">Con esa holgura se detecta un retraso de </w:t>
      </w:r>
      <w:r>
        <w:rPr>
          <w:b/>
        </w:rPr>
        <w:t>cientos de milisegundos</w:t>
      </w:r>
      <w:r>
        <w:rPr/>
        <w:t xml:space="preserve"> (sección 8). </w:t>
      </w:r>
      <w:r>
        <w:rPr>
          <w:b/>
        </w:rPr>
        <w:t>No</w:t>
      </w:r>
      <w:r>
        <w:rPr/>
        <w:t xml:space="preserve"> se detecta una degradación de 2× o 3× que quede dentro del presupuesto; para eso haría falta comparar contra una línea base y no contra un tope fijo.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8. Sensibilidad: la suite detecta un deterioro</w:t>
      </w:r>
    </w:p>
    <w:p>
      <w:r>
        <w:rPr/>
        <w:t>Se introdujo un retraso artificial en el código de producción (y se revirtió) para comprobar que la suite lo detecta.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64"/>
        <w:gridCol w:w="1575"/>
        <w:gridCol w:w="3401"/>
      </w:tblGrid>
      <w:tr>
        <w:trPr>
          <w:cantSplit w:val="true"/>
          <w:tblHeader w:val="true"/>
        </w:trPr>
        <w:tc>
          <w:tcPr>
            <w:tcW w:type="dxa" w:w="3664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Cambio introducido</w:t>
            </w:r>
          </w:p>
        </w:tc>
        <w:tc>
          <w:tcPr>
            <w:tcW w:type="dxa" w:w="1575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Pruebas que fallan</w:t>
            </w:r>
          </w:p>
        </w:tc>
        <w:tc>
          <w:tcPr>
            <w:tcW w:type="dxa" w:w="3401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Mensaje</w:t>
            </w:r>
          </w:p>
        </w:tc>
      </w:tr>
      <w:tr>
        <w:trPr>
          <w:cantSplit w:val="true"/>
        </w:trPr>
        <w:tc>
          <w:tcPr>
            <w:tcW w:type="dxa" w:w="366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UpdatePocket.execute</w:t>
            </w:r>
            <w:r>
              <w:rPr>
                <w:sz w:val="19"/>
              </w:rPr>
              <w:t xml:space="preserve">: espera de </w:t>
            </w:r>
            <w:r>
              <w:rPr>
                <w:b/>
                <w:sz w:val="19"/>
              </w:rPr>
              <w:t>400 ms</w:t>
            </w:r>
            <w:r>
              <w:rPr>
                <w:sz w:val="19"/>
              </w:rPr>
              <w:t xml:space="preserve"> al inicio</w:t>
            </w:r>
          </w:p>
        </w:tc>
        <w:tc>
          <w:tcPr>
            <w:tcW w:type="dxa" w:w="157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PF-03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PF-08</w:t>
            </w:r>
          </w:p>
        </w:tc>
        <w:tc>
          <w:tcPr>
            <w:tcW w:type="dxa" w:w="340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PF-03 Actualizar bolsillo (PATCH): p50 (ms): expected 412.93 to be at most 100</w:t>
            </w:r>
          </w:p>
        </w:tc>
      </w:tr>
      <w:tr>
        <w:trPr>
          <w:cantSplit w:val="true"/>
        </w:trPr>
        <w:tc>
          <w:tcPr>
            <w:tcW w:type="dxa" w:w="3664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DepositMoney.execute</w:t>
            </w:r>
            <w:r>
              <w:rPr>
                <w:sz w:val="19"/>
              </w:rPr>
              <w:t xml:space="preserve">: espera de </w:t>
            </w:r>
            <w:r>
              <w:rPr>
                <w:b/>
                <w:sz w:val="19"/>
              </w:rPr>
              <w:t>150 ms</w:t>
            </w:r>
            <w:r>
              <w:rPr>
                <w:sz w:val="19"/>
              </w:rPr>
              <w:t xml:space="preserve"> al inicio</w:t>
            </w:r>
          </w:p>
        </w:tc>
        <w:tc>
          <w:tcPr>
            <w:tcW w:type="dxa" w:w="1575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PF-06</w:t>
            </w:r>
          </w:p>
        </w:tc>
        <w:tc>
          <w:tcPr>
            <w:tcW w:type="dxa" w:w="3401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PF-06 Depositar dinero (POST): p50 (ms): expected 159.42 to be at most 100</w:t>
            </w:r>
          </w:p>
        </w:tc>
      </w:tr>
    </w:tbl>
    <w:p>
      <w:pPr>
        <w:spacing w:after="40"/>
      </w:pPr>
    </w:p>
    <w:p>
      <w:r>
        <w:rPr/>
        <w:t xml:space="preserve">El reporte marca la fila como </w:t>
      </w:r>
      <w:r>
        <w:rPr>
          <w:rFonts w:ascii="Consolas" w:hAnsi="Consolas"/>
          <w:b w:val="0"/>
          <w:color w:val="8B1E3F"/>
          <w:sz w:val="19"/>
        </w:rPr>
        <w:t>FUERA</w:t>
      </w:r>
      <w:r>
        <w:rPr/>
        <w:t xml:space="preserve"> y las demás operaciones siguen en verde, así que el fallo </w:t>
      </w:r>
      <w:r>
        <w:rPr>
          <w:b/>
        </w:rPr>
        <w:t>señala la operación responsable</w:t>
      </w:r>
      <w:r>
        <w:rPr/>
        <w:t xml:space="preserve">. Al revertir, la suite vuelve a 8 de 8. Los logs completos están en </w:t>
      </w:r>
      <w:r>
        <w:rPr>
          <w:rFonts w:ascii="Consolas" w:hAnsi="Consolas"/>
          <w:b w:val="0"/>
          <w:color w:val="8B1E3F"/>
          <w:sz w:val="19"/>
        </w:rPr>
        <w:t>docs/evidencia-performance-bolsillos/03-*.txt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04-*.txt</w:t>
      </w:r>
      <w:r>
        <w:rPr/>
        <w:t>.</w:t>
      </w:r>
    </w:p>
    <w:p>
      <w:r>
        <w:rPr>
          <w:b/>
        </w:rPr>
        <w:t>Lección del proceso.</w:t>
      </w:r>
      <w:r>
        <w:rPr/>
        <w:t xml:space="preserve"> En la primera versión esos retrasos hacían fallar las pruebas por el </w:t>
      </w:r>
      <w:r>
        <w:rPr>
          <w:b/>
        </w:rPr>
        <w:t>timeout de 5 s de Vitest</w:t>
      </w:r>
      <w:r>
        <w:rPr/>
        <w:t xml:space="preserve"> (35 repeticiones × 400 ms) y no por el presupuesto: se detectaba el problema, pero con un mensaje poco útil. Se corrigió con un timeout explícito de 120 s y el tope de medición de 15 s, para que falle la aserción de p50/p95.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9. Integración con Jenkins</w:t>
      </w:r>
    </w:p>
    <w:p>
      <w:pPr>
        <w:pStyle w:val="ListBullet"/>
        <w:spacing w:after="60"/>
      </w:pPr>
      <w:r>
        <w:rPr/>
        <w:t xml:space="preserve">La etapa </w:t>
      </w:r>
      <w:r>
        <w:rPr>
          <w:i/>
        </w:rPr>
        <w:t>Backend: install + test + build</w:t>
      </w:r>
      <w:r>
        <w:rPr/>
        <w:t xml:space="preserve"> ejecuta </w:t>
      </w:r>
      <w:r>
        <w:rPr>
          <w:rFonts w:ascii="Consolas" w:hAnsi="Consolas"/>
          <w:b w:val="0"/>
          <w:color w:val="8B1E3F"/>
          <w:sz w:val="19"/>
        </w:rPr>
        <w:t>npm run test:coverage</w:t>
      </w:r>
      <w:r>
        <w:rPr/>
        <w:t xml:space="preserve">. Vitest incluye </w:t>
      </w:r>
      <w:r>
        <w:rPr>
          <w:rFonts w:ascii="Consolas" w:hAnsi="Consolas"/>
          <w:b w:val="0"/>
          <w:color w:val="8B1E3F"/>
          <w:sz w:val="19"/>
        </w:rPr>
        <w:t>src/tests/**/*.test.ts</w:t>
      </w:r>
      <w:r>
        <w:rPr/>
        <w:t xml:space="preserve">, así que la suite de performance </w:t>
      </w:r>
      <w:r>
        <w:rPr>
          <w:b/>
        </w:rPr>
        <w:t>se ejecuta sin configuración extra</w:t>
      </w:r>
      <w:r>
        <w:rPr/>
        <w:t>.</w:t>
      </w:r>
    </w:p>
    <w:p>
      <w:pPr>
        <w:pStyle w:val="ListBullet"/>
        <w:spacing w:after="60"/>
      </w:pPr>
      <w:r>
        <w:rPr/>
        <w:t xml:space="preserve">Verificado localmente como lo hace Jenkins: </w:t>
      </w:r>
      <w:r>
        <w:rPr>
          <w:b/>
        </w:rPr>
        <w:t xml:space="preserve">70 archivos, 597 pruebas aprobadas + 5 </w:t>
      </w:r>
      <w:r>
        <w:rPr>
          <w:rFonts w:ascii="Consolas" w:hAnsi="Consolas"/>
          <w:b/>
          <w:color w:val="8B1E3F"/>
          <w:sz w:val="19"/>
        </w:rPr>
        <w:t>it.fails</w:t>
      </w:r>
      <w:r>
        <w:rPr/>
        <w:t xml:space="preserve">, 99,4 % de cobertura de líneas y </w:t>
      </w:r>
      <w:r>
        <w:rPr>
          <w:rFonts w:ascii="Consolas" w:hAnsi="Consolas"/>
          <w:b w:val="0"/>
          <w:color w:val="8B1E3F"/>
          <w:sz w:val="19"/>
        </w:rPr>
        <w:t>tsc</w:t>
      </w:r>
      <w:r>
        <w:rPr/>
        <w:t xml:space="preserve"> sin errores.</w:t>
      </w:r>
    </w:p>
    <w:p>
      <w:pPr>
        <w:pStyle w:val="ListBullet"/>
        <w:spacing w:after="60"/>
      </w:pPr>
      <w:r>
        <w:rPr>
          <w:b/>
        </w:rPr>
        <w:t>Visibilidad de la tabla.</w:t>
      </w:r>
      <w:r>
        <w:rPr/>
        <w:t xml:space="preserve"> Con el reporter por defecto de Vitest, la salida de las pruebas que pasan puede no aparecer. </w:t>
      </w:r>
      <w:r>
        <w:rPr>
          <w:rFonts w:ascii="Consolas" w:hAnsi="Consolas"/>
          <w:b w:val="0"/>
          <w:color w:val="8B1E3F"/>
          <w:sz w:val="19"/>
        </w:rPr>
        <w:t>npm run test:performance:bolsillos</w:t>
      </w:r>
      <w:r>
        <w:rPr/>
        <w:t xml:space="preserve"> usa </w:t>
      </w:r>
      <w:r>
        <w:rPr>
          <w:rFonts w:ascii="Consolas" w:hAnsi="Consolas"/>
          <w:b w:val="0"/>
          <w:color w:val="8B1E3F"/>
          <w:sz w:val="19"/>
        </w:rPr>
        <w:t>--reporter=verbose</w:t>
      </w:r>
      <w:r>
        <w:rPr/>
        <w:t>, que sí imprime la tabla: úsalo para la evidencia y la demo.</w:t>
      </w:r>
    </w:p>
    <w:p>
      <w:pPr>
        <w:pStyle w:val="ListBullet"/>
        <w:spacing w:after="60"/>
      </w:pPr>
      <w:r>
        <w:rPr>
          <w:b/>
        </w:rPr>
        <w:t>Riesgo de inestabilidad.</w:t>
      </w:r>
      <w:r>
        <w:rPr/>
        <w:t xml:space="preserve"> Las pruebas de tiempo dependen de la máquina. Se mitigó con calentamiento, mediana, p95 y presupuestos holgados. Si un runner cargado diera falsos positivos, la primera medida es ampliar los presupuestos, no desactivar la suite.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10. Limitaciones y trabajo futuro</w:t>
      </w:r>
    </w:p>
    <w:p>
      <w:pPr>
        <w:pStyle w:val="ListBullet"/>
        <w:spacing w:after="60"/>
      </w:pPr>
      <w:r>
        <w:rPr>
          <w:b/>
        </w:rPr>
        <w:t>Carga concurrente y estrés (k6).</w:t>
      </w:r>
      <w:r>
        <w:rPr/>
        <w:t xml:space="preserve"> El equipo tiene un script k6 para Créditos (</w:t>
      </w:r>
      <w:r>
        <w:rPr>
          <w:rFonts w:ascii="Consolas" w:hAnsi="Consolas"/>
          <w:b w:val="0"/>
          <w:color w:val="8B1E3F"/>
          <w:sz w:val="19"/>
        </w:rPr>
        <w:t>scripts/performance/loans-load.js</w:t>
      </w:r>
      <w:r>
        <w:rPr/>
        <w:t xml:space="preserve">: 20 usuarios virtuales, 30 s, p95 &lt; 500 ms). k6 no está instalado pero Docker sí, así que se puede ejecutar con la imagen </w:t>
      </w:r>
      <w:r>
        <w:rPr>
          <w:rFonts w:ascii="Consolas" w:hAnsi="Consolas"/>
          <w:b w:val="0"/>
          <w:color w:val="8B1E3F"/>
          <w:sz w:val="19"/>
        </w:rPr>
        <w:t>grafana/k6</w:t>
      </w:r>
      <w:r>
        <w:rPr/>
        <w:t xml:space="preserve"> apuntando a la app en memoria levantada en un puerto. No se incluyó porque esta entrega se limitó a tiempos con presupuesto.</w:t>
      </w:r>
    </w:p>
    <w:p>
      <w:pPr>
        <w:pStyle w:val="ListBullet"/>
        <w:spacing w:after="60"/>
      </w:pPr>
      <w:r>
        <w:rPr>
          <w:b/>
        </w:rPr>
        <w:t>Contra el backend real.</w:t>
      </w:r>
      <w:r>
        <w:rPr/>
        <w:t xml:space="preserve"> Incluiría la latencia de Supabase, pero el depósito modifica saldos reales y la tabla </w:t>
      </w:r>
      <w:r>
        <w:rPr>
          <w:rFonts w:ascii="Consolas" w:hAnsi="Consolas"/>
          <w:b w:val="0"/>
          <w:color w:val="8B1E3F"/>
          <w:sz w:val="19"/>
        </w:rPr>
        <w:t>pockets</w:t>
      </w:r>
      <w:r>
        <w:rPr/>
        <w:t xml:space="preserve"> no existe (el repositorio cae en silencio a un </w:t>
      </w:r>
      <w:r>
        <w:rPr>
          <w:rFonts w:ascii="Consolas" w:hAnsi="Consolas"/>
          <w:b w:val="0"/>
          <w:color w:val="8B1E3F"/>
          <w:sz w:val="19"/>
        </w:rPr>
        <w:t>Map</w:t>
      </w:r>
      <w:r>
        <w:rPr/>
        <w:t>, defecto D-07).</w:t>
      </w:r>
    </w:p>
    <w:p>
      <w:pPr>
        <w:pStyle w:val="ListBullet"/>
        <w:spacing w:after="60"/>
      </w:pPr>
      <w:r>
        <w:rPr>
          <w:b/>
        </w:rPr>
        <w:t>Hipótesis sin verificar: concurrencia.</w:t>
      </w:r>
      <w:r>
        <w:rPr/>
        <w:t xml:space="preserve"> </w:t>
      </w:r>
      <w:r>
        <w:rPr>
          <w:rFonts w:ascii="Consolas" w:hAnsi="Consolas"/>
          <w:b w:val="0"/>
          <w:color w:val="8B1E3F"/>
          <w:sz w:val="19"/>
        </w:rPr>
        <w:t>updateBalance(accountId, newBalance)</w:t>
      </w:r>
      <w:r>
        <w:rPr/>
        <w:t xml:space="preserve"> escribe un valor absoluto calculado a partir de una lectura previa. Con una base de datos real, dos operaciones simultáneas sobre la misma cuenta podrían pisarse (actualización perdida). </w:t>
      </w:r>
      <w:r>
        <w:rPr>
          <w:b/>
        </w:rPr>
        <w:t>No está probado</w:t>
      </w:r>
      <w:r>
        <w:rPr/>
        <w:t>: con el repositorio en memoria las operaciones no se intercalan. Merecería una prueba con latencia simulada.</w:t>
      </w:r>
    </w:p>
    <w:p>
      <w:pPr>
        <w:pStyle w:val="ListBullet"/>
        <w:spacing w:after="60"/>
      </w:pPr>
      <w:r>
        <w:rPr>
          <w:b/>
        </w:rPr>
        <w:t>Línea base.</w:t>
      </w:r>
      <w:r>
        <w:rPr/>
        <w:t xml:space="preserve"> Comparar contra una medición previa detectaría degradaciones menores que el presupuesto.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11. Cómo ejecutar</w:t>
      </w:r>
    </w:p>
    <w:p>
      <w:pPr>
        <w:spacing w:before="40" w:after="160"/>
        <w:ind w:left="144"/>
        <w:shd w:val="clear" w:color="auto" w:fill="F3F5F8"/>
        <w:pBdr>
          <w:left w:val="single" w:sz="12" w:space="6" w:color="9DB3CC"/>
        </w:pBdr>
      </w:pPr>
      <w:r>
        <w:rPr>
          <w:rFonts w:ascii="Consolas" w:hAnsi="Consolas" w:eastAsia="Consolas"/>
          <w:sz w:val="17"/>
        </w:rPr>
        <w:t>cd backend</w:t>
        <w:br/>
      </w:r>
      <w:r>
        <w:rPr>
          <w:rFonts w:ascii="Consolas" w:hAnsi="Consolas" w:eastAsia="Consolas"/>
          <w:sz w:val="17"/>
        </w:rPr>
        <w:t>npm run test:performance:bolsillos        # solo performance, con tabla de tiempos</w:t>
        <w:br/>
      </w:r>
      <w:r>
        <w:rPr>
          <w:rFonts w:ascii="Consolas" w:hAnsi="Consolas" w:eastAsia="Consolas"/>
          <w:sz w:val="17"/>
        </w:rPr>
        <w:t>npm run test:regression:bolsillos         # regresión + unitarias de las 6 funcionalidades</w:t>
        <w:br/>
      </w:r>
      <w:r>
        <w:rPr>
          <w:rFonts w:ascii="Consolas" w:hAnsi="Consolas" w:eastAsia="Consolas"/>
          <w:sz w:val="17"/>
        </w:rPr>
        <w:t>npm run test:coverage                     # lo mismo que ejecuta Jenkins (suite completa)</w:t>
      </w:r>
    </w:p>
    <w:p>
      <w:r>
        <w:rPr/>
        <w:t xml:space="preserve">Requiere el </w:t>
      </w:r>
      <w:r>
        <w:rPr>
          <w:rFonts w:ascii="Consolas" w:hAnsi="Consolas"/>
          <w:b w:val="0"/>
          <w:color w:val="8B1E3F"/>
          <w:sz w:val="19"/>
        </w:rPr>
        <w:t>.env</w:t>
      </w:r>
      <w:r>
        <w:rPr/>
        <w:t xml:space="preserve"> del backend (</w:t>
      </w:r>
      <w:r>
        <w:rPr>
          <w:rFonts w:ascii="Consolas" w:hAnsi="Consolas"/>
          <w:b w:val="0"/>
          <w:color w:val="8B1E3F"/>
          <w:sz w:val="19"/>
        </w:rPr>
        <w:t>JWT_SECRET</w:t>
      </w:r>
      <w:r>
        <w:rPr/>
        <w:t>). No requiere Supabase, Docker ni red.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12. Archivos entregados</w:t>
      </w:r>
    </w:p>
    <w:p>
      <w:r>
        <w:rPr/>
        <w:t xml:space="preserve">Rutas relativas a </w:t>
      </w:r>
      <w:r>
        <w:rPr>
          <w:rFonts w:ascii="Consolas" w:hAnsi="Consolas"/>
          <w:b w:val="0"/>
          <w:color w:val="8B1E3F"/>
          <w:sz w:val="19"/>
        </w:rPr>
        <w:t>backend/src/tests/</w:t>
      </w:r>
      <w:r>
        <w:rPr/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8"/>
        <w:gridCol w:w="3432"/>
        <w:gridCol w:w="1360"/>
      </w:tblGrid>
      <w:tr>
        <w:trPr>
          <w:cantSplit w:val="true"/>
          <w:tblHeader w:val="true"/>
        </w:trPr>
        <w:tc>
          <w:tcPr>
            <w:tcW w:type="dxa" w:w="3848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Archivo</w:t>
            </w:r>
          </w:p>
        </w:tc>
        <w:tc>
          <w:tcPr>
            <w:tcW w:type="dxa" w:w="3432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Contenido</w:t>
            </w:r>
          </w:p>
        </w:tc>
        <w:tc>
          <w:tcPr>
            <w:tcW w:type="dxa" w:w="1360"/>
            <w:shd w:val="clear" w:color="auto" w:fill="EAF1F8"/>
          </w:tcPr>
          <w:p>
            <w:pPr>
              <w:spacing w:after="0"/>
              <w:jc w:val="left"/>
            </w:pPr>
            <w:r>
              <w:rPr>
                <w:b/>
                <w:sz w:val="19"/>
              </w:rPr>
              <w:t>Estado</w:t>
            </w:r>
          </w:p>
        </w:tc>
      </w:tr>
      <w:tr>
        <w:trPr>
          <w:cantSplit w:val="true"/>
        </w:trPr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performance/pocket/bolsillos.performance.test.ts</w:t>
            </w:r>
          </w:p>
        </w:tc>
        <w:tc>
          <w:tcPr>
            <w:tcW w:type="dxa" w:w="3432"/>
          </w:tcPr>
          <w:p>
            <w:pPr>
              <w:spacing w:after="0"/>
              <w:jc w:val="left"/>
            </w:pPr>
            <w:r>
              <w:rPr>
                <w:sz w:val="19"/>
              </w:rPr>
              <w:t>8 casos PF-01 a PF-08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performance/pocket/support/harness.ts</w:t>
            </w:r>
          </w:p>
        </w:tc>
        <w:tc>
          <w:tcPr>
            <w:tcW w:type="dxa" w:w="343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Servidor HTTP efímero,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measure</w:t>
            </w:r>
            <w:r>
              <w:rPr>
                <w:sz w:val="19"/>
              </w:rPr>
              <w:t>, percentiles y reporte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  <w:tr>
        <w:trPr>
          <w:cantSplit w:val="true"/>
        </w:trPr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backend/package.json</w:t>
            </w:r>
          </w:p>
        </w:tc>
        <w:tc>
          <w:tcPr>
            <w:tcW w:type="dxa" w:w="3432"/>
          </w:tcPr>
          <w:p>
            <w:pPr>
              <w:spacing w:after="0"/>
              <w:jc w:val="left"/>
            </w:pPr>
            <w:r>
              <w:rPr>
                <w:sz w:val="19"/>
              </w:rPr>
              <w:t xml:space="preserve">Script </w:t>
            </w:r>
            <w:r>
              <w:rPr>
                <w:rFonts w:ascii="Consolas" w:hAnsi="Consolas"/>
                <w:b w:val="0"/>
                <w:color w:val="8B1E3F"/>
                <w:sz w:val="17"/>
              </w:rPr>
              <w:t>test:performance:bolsillos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>
              <w:rPr>
                <w:sz w:val="19"/>
              </w:rPr>
              <w:t>Modificado</w:t>
            </w:r>
          </w:p>
        </w:tc>
      </w:tr>
      <w:tr>
        <w:trPr>
          <w:cantSplit w:val="true"/>
        </w:trPr>
        <w:tc>
          <w:tcPr>
            <w:tcW w:type="dxa" w:w="3848"/>
          </w:tcPr>
          <w:p>
            <w:pPr>
              <w:spacing w:after="0"/>
              <w:jc w:val="left"/>
            </w:pPr>
            <w:r>
              <w:rPr>
                <w:rFonts w:ascii="Consolas" w:hAnsi="Consolas"/>
                <w:b w:val="0"/>
                <w:color w:val="8B1E3F"/>
                <w:sz w:val="17"/>
              </w:rPr>
              <w:t>docs/evidencia-performance-bolsillos/</w:t>
            </w:r>
          </w:p>
        </w:tc>
        <w:tc>
          <w:tcPr>
            <w:tcW w:type="dxa" w:w="3432"/>
          </w:tcPr>
          <w:p>
            <w:pPr>
              <w:spacing w:after="0"/>
              <w:jc w:val="left"/>
            </w:pPr>
            <w:r>
              <w:rPr>
                <w:sz w:val="19"/>
              </w:rPr>
              <w:t>Corrida normal, con cobertura y con cada retraso inyectado</w:t>
            </w:r>
          </w:p>
        </w:tc>
        <w:tc>
          <w:tcPr>
            <w:tcW w:type="dxa" w:w="1360"/>
          </w:tcPr>
          <w:p>
            <w:pPr>
              <w:spacing w:after="0"/>
              <w:jc w:val="left"/>
            </w:pPr>
            <w:r>
              <w:rPr>
                <w:sz w:val="19"/>
              </w:rPr>
              <w:t>Nuevo</w:t>
            </w:r>
          </w:p>
        </w:tc>
      </w:tr>
    </w:tbl>
    <w:p>
      <w:pPr>
        <w:spacing w:after="40"/>
      </w:pPr>
    </w:p>
    <w:p>
      <w:r>
        <w:rPr/>
        <w:t>Reutiliza sin cambios el escenario y la app de la regresión (</w:t>
      </w:r>
      <w:r>
        <w:rPr>
          <w:rFonts w:ascii="Consolas" w:hAnsi="Consolas"/>
          <w:b w:val="0"/>
          <w:color w:val="8B1E3F"/>
          <w:sz w:val="19"/>
        </w:rPr>
        <w:t>regression/pocket/support/scenario.ts</w:t>
      </w:r>
      <w:r>
        <w:rPr/>
        <w:t xml:space="preserve"> y </w:t>
      </w:r>
      <w:r>
        <w:rPr>
          <w:rFonts w:ascii="Consolas" w:hAnsi="Consolas"/>
          <w:b w:val="0"/>
          <w:color w:val="8B1E3F"/>
          <w:sz w:val="19"/>
        </w:rPr>
        <w:t>helpers/createPocketTestApp.ts</w:t>
      </w:r>
      <w:r>
        <w:rPr/>
        <w:t>).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13. Guion de sustentación</w:t>
      </w:r>
    </w:p>
    <w:p>
      <w:r>
        <w:rPr>
          <w:b/>
        </w:rPr>
        <w:t>En 30 segundos.</w:t>
      </w:r>
      <w:r>
        <w:rPr/>
        <w:t xml:space="preserve"> Medí el tiempo de respuesta de las seis funcionalidades por HTTP real contra la app en memoria, con 30 repeticiones, calentamiento, mediana y p95 contra un presupuesto, y verificando que cada respuesta sea correcta. También probé que escala con 1.000 bolsillos y que un recorrido completo cabe en el presupuesto, y demostré que detecta un deterioro inyectando retrasos.</w:t>
      </w:r>
    </w:p>
    <w:p>
      <w:r>
        <w:rPr>
          <w:b/>
        </w:rPr>
        <w:t>Preguntas probables</w:t>
      </w:r>
    </w:p>
    <w:p>
      <w:pPr>
        <w:pStyle w:val="ListBullet"/>
        <w:spacing w:after="60"/>
      </w:pPr>
      <w:r>
        <w:rPr>
          <w:b/>
        </w:rPr>
        <w:t>¿Por qué mediana y p95 y no el promedio?</w:t>
      </w:r>
      <w:r>
        <w:rPr/>
        <w:t xml:space="preserve"> El promedio lo distorsiona un valor atípico y oculta la cola lenta. La mediana muestra la experiencia típica y el p95 la del peor 5 % de las peticiones.</w:t>
      </w:r>
    </w:p>
    <w:p>
      <w:pPr>
        <w:pStyle w:val="ListBullet"/>
        <w:spacing w:after="60"/>
      </w:pPr>
      <w:r>
        <w:rPr>
          <w:b/>
        </w:rPr>
        <w:t>¿Por qué esos presupuestos?</w:t>
      </w:r>
      <w:r>
        <w:rPr/>
        <w:t xml:space="preserve"> Son educativos y holgados (más de 15× lo observado) para no dar falsos positivos en Jenkins; aun así detectan retrasos de cientos de milisegundos.</w:t>
      </w:r>
    </w:p>
    <w:p>
      <w:pPr>
        <w:pStyle w:val="ListBullet"/>
        <w:spacing w:after="60"/>
      </w:pPr>
      <w:r>
        <w:rPr>
          <w:b/>
        </w:rPr>
        <w:t>¿Estás midiendo la base de datos?</w:t>
      </w:r>
      <w:r>
        <w:rPr/>
        <w:t xml:space="preserve"> No: mido el costo del código de la aplicación. La latencia de Supabase queda fuera y está indicada en las limitaciones.</w:t>
      </w:r>
    </w:p>
    <w:p>
      <w:pPr>
        <w:pStyle w:val="ListBullet"/>
        <w:spacing w:after="60"/>
      </w:pPr>
      <w:r>
        <w:rPr>
          <w:b/>
        </w:rPr>
        <w:t>¿Es una prueba de carga?</w:t>
      </w:r>
      <w:r>
        <w:rPr/>
        <w:t xml:space="preserve"> No, es secuencial. Carga y estrés requieren k6 y quedan como trabajo futuro; el equipo ya tiene un script k6 para Créditos como plantilla.</w:t>
      </w:r>
    </w:p>
    <w:p>
      <w:pPr>
        <w:pStyle w:val="ListBullet"/>
        <w:spacing w:after="60"/>
      </w:pPr>
      <w:r>
        <w:rPr>
          <w:b/>
        </w:rPr>
        <w:t>¿Cómo sabes que detecta problemas?</w:t>
      </w:r>
      <w:r>
        <w:rPr/>
        <w:t xml:space="preserve"> Inyecté 400 ms en </w:t>
      </w:r>
      <w:r>
        <w:rPr>
          <w:rFonts w:ascii="Consolas" w:hAnsi="Consolas"/>
          <w:b w:val="0"/>
          <w:color w:val="8B1E3F"/>
          <w:sz w:val="19"/>
        </w:rPr>
        <w:t>UpdatePocket</w:t>
      </w:r>
      <w:r>
        <w:rPr/>
        <w:t xml:space="preserve"> y 150 ms en </w:t>
      </w:r>
      <w:r>
        <w:rPr>
          <w:rFonts w:ascii="Consolas" w:hAnsi="Consolas"/>
          <w:b w:val="0"/>
          <w:color w:val="8B1E3F"/>
          <w:sz w:val="19"/>
        </w:rPr>
        <w:t>DepositMoney</w:t>
      </w:r>
      <w:r>
        <w:rPr/>
        <w:t>: fallaron PF-03 y PF-08, y PF-06, respectivamente, y solo esas.</w:t>
      </w:r>
    </w:p>
    <w:p>
      <w:pPr>
        <w:pStyle w:val="ListBullet"/>
        <w:spacing w:after="60"/>
      </w:pPr>
      <w:r>
        <w:rPr>
          <w:b/>
        </w:rPr>
        <w:t>¿Qué problema tuvo tu primera versión?</w:t>
      </w:r>
      <w:r>
        <w:rPr/>
        <w:t xml:space="preserve"> Fallaba por timeout y no por presupuesto. Lo corregí con un timeout explícito y un tope de medición.</w:t>
      </w:r>
    </w:p>
    <w:p>
      <w:pPr>
        <w:pStyle w:val="ListBullet"/>
        <w:spacing w:after="60"/>
      </w:pPr>
      <w:r>
        <w:rPr>
          <w:b/>
        </w:rPr>
        <w:t>¿Qué es el calentamiento?</w:t>
      </w:r>
      <w:r>
        <w:rPr/>
        <w:t xml:space="preserve"> Las primeras ejecuciones son más lentas (compilación JIT, conexiones); se descartan para no medir el arranque.</w:t>
      </w:r>
    </w:p>
    <w:p>
      <w:pPr>
        <w:spacing w:after="80"/>
        <w:pBdr>
          <w:bottom w:val="single" w:sz="4" w:space="1" w:color="BFCFE0"/>
        </w:pBdr>
      </w:pPr>
    </w:p>
    <w:p>
      <w:pPr>
        <w:pStyle w:val="Heading1"/>
      </w:pPr>
      <w:r>
        <w:rPr/>
        <w:t>14. Conclusiones</w:t>
      </w:r>
    </w:p>
    <w:p>
      <w:pPr>
        <w:pStyle w:val="ListBullet"/>
        <w:spacing w:after="60"/>
      </w:pPr>
      <w:r>
        <w:rPr/>
        <w:t xml:space="preserve">Las seis funcionalidades responden con </w:t>
      </w:r>
      <w:r>
        <w:rPr>
          <w:b/>
        </w:rPr>
        <w:t>menos de 6 ms de mediana</w:t>
      </w:r>
      <w:r>
        <w:rPr/>
        <w:t xml:space="preserve"> en una petición y el recorrido completo en ≈ 6 ms, con holgura de más de 15× frente a su presupuesto.</w:t>
      </w:r>
    </w:p>
    <w:p>
      <w:pPr>
        <w:pStyle w:val="ListBullet"/>
        <w:spacing w:after="60"/>
      </w:pPr>
      <w:r>
        <w:rPr/>
        <w:t xml:space="preserve">La consulta </w:t>
      </w:r>
      <w:r>
        <w:rPr>
          <w:b/>
        </w:rPr>
        <w:t>escala bien</w:t>
      </w:r>
      <w:r>
        <w:rPr/>
        <w:t>: con 1.000 bolsillos tarda ≈ 5 ms.</w:t>
      </w:r>
    </w:p>
    <w:p>
      <w:pPr>
        <w:pStyle w:val="ListBullet"/>
        <w:spacing w:after="60"/>
      </w:pPr>
      <w:r>
        <w:rPr/>
        <w:t xml:space="preserve">La suite </w:t>
      </w:r>
      <w:r>
        <w:rPr>
          <w:b/>
        </w:rPr>
        <w:t>detecta</w:t>
      </w:r>
      <w:r>
        <w:rPr/>
        <w:t xml:space="preserve"> retrasos inyectados y señala la operación responsable.</w:t>
      </w:r>
    </w:p>
    <w:p>
      <w:pPr>
        <w:pStyle w:val="ListBullet"/>
        <w:spacing w:after="60"/>
      </w:pPr>
      <w:r>
        <w:rPr/>
        <w:t xml:space="preserve">Corre dentro del pipeline sin configuración adicional; entre regresión, unitarias y performance el backend suma </w:t>
      </w:r>
      <w:r>
        <w:rPr>
          <w:b/>
        </w:rPr>
        <w:t>597 pruebas aprobadas</w:t>
      </w:r>
      <w:r>
        <w:rPr/>
        <w:t>.</w:t>
      </w:r>
    </w:p>
    <w:p>
      <w:pPr>
        <w:pStyle w:val="ListBullet"/>
        <w:spacing w:after="60"/>
      </w:pPr>
      <w:r>
        <w:rPr/>
        <w:t>Carga concurrente, estrés y consumo de recursos quedan identificados como siguiente paso.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7"/>
      </w:rPr>
      <w:t xml:space="preserve">Pruebas de performance — Bolsillos · FuBanking · pág. </w:t>
    </w:r>
    <w:r>
      <w:rPr>
        <w:color w:val="595959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Performance — Módulo Bolsillos y Depósito (FuBanking)</dc:title>
  <dc:subject>Validación y Verificación de Software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