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820AD1"/>
          <w:sz w:val="60"/>
        </w:rPr>
        <w:t>Métricas de Software</w:t>
      </w:r>
    </w:p>
    <w:p>
      <w:pPr>
        <w:jc w:val="center"/>
      </w:pPr>
      <w:r>
        <w:rPr>
          <w:b/>
          <w:color w:val="5E0A99"/>
          <w:sz w:val="36"/>
        </w:rPr>
        <w:t>Módulo Bolsillos — FuBank</w:t>
      </w:r>
    </w:p>
    <w:p>
      <w:pPr>
        <w:jc w:val="center"/>
      </w:pPr>
      <w:r>
        <w:rPr>
          <w:i/>
          <w:color w:val="5C5566"/>
          <w:sz w:val="26"/>
        </w:rPr>
        <w:t>Cálculo detallado, origen de los datos e interpretación</w:t>
      </w:r>
    </w:p>
    <w:p/>
    <w:p/>
    <w:p>
      <w:pPr>
        <w:jc w:val="center"/>
      </w:pPr>
      <w:r>
        <w:rPr>
          <w:color w:val="1A1420"/>
          <w:sz w:val="22"/>
        </w:rPr>
        <w:t>Métricas de Pruebas · Métricas Estructurales · Métricas de Calidad del Producto (ISO 25010)</w:t>
      </w:r>
    </w:p>
    <w:p/>
    <w:p/>
    <w:p/>
    <w:p/>
    <w:p/>
    <w:p/>
    <w:p>
      <w:pPr>
        <w:jc w:val="center"/>
      </w:pPr>
      <w:r>
        <w:rPr>
          <w:b/>
          <w:color w:val="5E0A99"/>
          <w:sz w:val="21"/>
        </w:rPr>
        <w:t xml:space="preserve">Asignatura:  </w:t>
      </w:r>
      <w:r>
        <w:rPr>
          <w:color w:val="1A1420"/>
          <w:sz w:val="21"/>
        </w:rPr>
        <w:t>Validación y Verificación</w:t>
      </w:r>
    </w:p>
    <w:p>
      <w:pPr>
        <w:jc w:val="center"/>
      </w:pPr>
      <w:r>
        <w:rPr>
          <w:b/>
          <w:color w:val="5E0A99"/>
          <w:sz w:val="21"/>
        </w:rPr>
        <w:t xml:space="preserve">Proyecto:  </w:t>
      </w:r>
      <w:r>
        <w:rPr>
          <w:color w:val="1A1420"/>
          <w:sz w:val="21"/>
        </w:rPr>
        <w:t>FuBanking — Módulo Bolsillos</w:t>
      </w:r>
    </w:p>
    <w:p>
      <w:pPr>
        <w:jc w:val="center"/>
      </w:pPr>
      <w:r>
        <w:rPr>
          <w:b/>
          <w:color w:val="5E0A99"/>
          <w:sz w:val="21"/>
        </w:rPr>
        <w:t xml:space="preserve">Alcance:  </w:t>
      </w:r>
      <w:r>
        <w:rPr>
          <w:color w:val="1A1420"/>
          <w:sz w:val="21"/>
        </w:rPr>
        <w:t>5 funcionalidades · Backend (caja negra) + Frontend (caja blanca)</w:t>
      </w:r>
    </w:p>
    <w:p>
      <w:pPr>
        <w:jc w:val="center"/>
      </w:pPr>
      <w:r>
        <w:rPr>
          <w:b/>
          <w:color w:val="5E0A99"/>
          <w:sz w:val="21"/>
        </w:rPr>
        <w:t xml:space="preserve">Base de fórmulas:  </w:t>
      </w:r>
      <w:r>
        <w:rPr>
          <w:color w:val="1A1420"/>
          <w:sz w:val="21"/>
        </w:rPr>
        <w:t>Clase 09 — Métricas de Software</w:t>
      </w:r>
    </w:p>
    <w:p>
      <w:pPr>
        <w:jc w:val="center"/>
      </w:pPr>
      <w:r>
        <w:rPr>
          <w:b/>
          <w:color w:val="5E0A99"/>
          <w:sz w:val="21"/>
        </w:rPr>
        <w:t xml:space="preserve">Fecha:  </w:t>
      </w:r>
      <w:r>
        <w:rPr>
          <w:color w:val="1A1420"/>
          <w:sz w:val="21"/>
        </w:rPr>
        <w:t>1 de septiembre de 2026</w:t>
      </w:r>
    </w:p>
    <w:p>
      <w:r>
        <w:br w:type="page"/>
      </w:r>
    </w:p>
    <w:p>
      <w:pPr>
        <w:pStyle w:val="Heading1"/>
      </w:pPr>
      <w:r>
        <w:t>Contenido</w:t>
      </w:r>
    </w:p>
    <w:p>
      <w:r>
        <w:fldChar w:fldCharType="begin"/>
        <w:instrText xml:space="preserve">TOC \o "1-3" \h \z \u</w:instrText>
        <w:fldChar w:fldCharType="separate"/>
        <w:r>
          <w:t>Actualiza este índice en Word con clic derecho → Actualizar campos (o F9).</w:t>
        </w:r>
        <w:fldChar w:fldCharType="end"/>
      </w:r>
    </w:p>
    <w:p>
      <w:r>
        <w:br w:type="page"/>
      </w:r>
    </w:p>
    <w:p>
      <w:pPr>
        <w:pStyle w:val="Heading1"/>
      </w:pPr>
      <w:r>
        <w:t>1. Introducción</w:t>
      </w:r>
    </w:p>
    <w:p>
      <w:pPr>
        <w:pStyle w:val="Heading2"/>
      </w:pPr>
      <w:r>
        <w:t>1.1 ¿Qué es una métrica de software?</w:t>
      </w:r>
    </w:p>
    <w:p>
      <w:pPr>
        <w:spacing w:after="120"/>
        <w:jc w:val="both"/>
      </w:pPr>
      <w:r>
        <w:rPr>
          <w:b w:val="0"/>
          <w:i w:val="0"/>
          <w:color w:val="1A1420"/>
          <w:sz w:val="21"/>
        </w:rPr>
        <w:t>Una métrica de software es una medida cuantitativa que sirve para evaluar características del producto, del proceso o de las pruebas (Clase 09, diapositiva 3). Su valor no está en el número aislado, sino en la relación entre números: por ejemplo, un 100 % de casos aprobados con 10 % de cobertura dice menos que un 85 % de casos aprobados con 90 % de cobertura. En este documento cada métrica responde a una de tres preguntas: ¿cuánto se probó? (cobertura), ¿cómo salió? (resultado/calidad) y ¿qué tan efectivas fueron las pruebas? (defectos).</w:t>
      </w:r>
    </w:p>
    <w:p>
      <w:pPr>
        <w:pStyle w:val="Heading2"/>
      </w:pPr>
      <w:r>
        <w:t>1.2 Alcance y las cinco funcionalidades</w:t>
      </w:r>
    </w:p>
    <w:p>
      <w:pPr>
        <w:spacing w:after="120"/>
        <w:jc w:val="left"/>
      </w:pPr>
      <w:r>
        <w:rPr>
          <w:b w:val="0"/>
          <w:i w:val="0"/>
          <w:color w:val="1A1420"/>
          <w:sz w:val="21"/>
        </w:rPr>
        <w:t>El módulo Bolsillos expone cinco funcionalidades. Cada una se probó en dos capas con técnicas distintas: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00"/>
            <w:shd w:val="clear" w:color="auto" w:fill="820AD1"/>
          </w:tcPr>
          <w:p>
            <w:pPr>
              <w:spacing w:after="20" w:before="20"/>
              <w:jc w:val="center"/>
            </w:pPr>
            <w:r/>
            <w:r>
              <w:rPr>
                <w:rFonts w:ascii="Calibri" w:hAnsi="Calibri"/>
                <w:b/>
                <w:i w:val="0"/>
                <w:color w:val="FFFFFF"/>
                <w:sz w:val="18"/>
              </w:rPr>
              <w:t>Funcionalidad</w:t>
            </w:r>
          </w:p>
        </w:tc>
        <w:tc>
          <w:tcPr>
            <w:tcW w:type="dxa" w:w="3730"/>
            <w:shd w:val="clear" w:color="auto" w:fill="820AD1"/>
          </w:tcPr>
          <w:p>
            <w:pPr>
              <w:spacing w:after="20" w:before="20"/>
              <w:jc w:val="center"/>
            </w:pPr>
            <w:r/>
            <w:r>
              <w:rPr>
                <w:rFonts w:ascii="Calibri" w:hAnsi="Calibri"/>
                <w:b/>
                <w:i w:val="0"/>
                <w:color w:val="FFFFFF"/>
                <w:sz w:val="18"/>
              </w:rPr>
              <w:t>Backend — unidad (caja negra)</w:t>
            </w:r>
          </w:p>
        </w:tc>
        <w:tc>
          <w:tcPr>
            <w:tcW w:type="dxa" w:w="3730"/>
            <w:shd w:val="clear" w:color="auto" w:fill="820AD1"/>
          </w:tcPr>
          <w:p>
            <w:pPr>
              <w:spacing w:after="20" w:before="20"/>
              <w:jc w:val="center"/>
            </w:pPr>
            <w:r/>
            <w:r>
              <w:rPr>
                <w:rFonts w:ascii="Calibri" w:hAnsi="Calibri"/>
                <w:b/>
                <w:i w:val="0"/>
                <w:color w:val="FFFFFF"/>
                <w:sz w:val="18"/>
              </w:rPr>
              <w:t>Frontend — handler (caja blanca)</w:t>
            </w:r>
          </w:p>
        </w:tc>
      </w:tr>
      <w:tr>
        <w:tc>
          <w:tcPr>
            <w:tcW w:type="dxa" w:w="1900"/>
          </w:tcPr>
          <w:p>
            <w:pPr>
              <w:spacing w:after="20" w:before="20"/>
              <w:jc w:val="left"/>
            </w:pPr>
            <w:r/>
            <w:r>
              <w:rPr>
                <w:rFonts w:ascii="Calibri" w:hAnsi="Calibri"/>
                <w:b/>
                <w:i w:val="0"/>
                <w:color w:val="1A1420"/>
                <w:sz w:val="19"/>
              </w:rPr>
              <w:t>Crear</w:t>
            </w:r>
          </w:p>
        </w:tc>
        <w:tc>
          <w:tcPr>
            <w:tcW w:type="dxa" w:w="3730"/>
          </w:tcPr>
          <w:p>
            <w:pPr>
              <w:spacing w:after="20" w:before="20"/>
              <w:jc w:val="left"/>
            </w:pPr>
            <w:r/>
            <w:r>
              <w:rPr>
                <w:rFonts w:ascii="Calibri" w:hAnsi="Calibri"/>
                <w:b w:val="0"/>
                <w:i w:val="0"/>
                <w:color w:val="1A1420"/>
                <w:sz w:val="19"/>
              </w:rPr>
              <w:t>CreatePocket.execute</w:t>
            </w:r>
          </w:p>
        </w:tc>
        <w:tc>
          <w:tcPr>
            <w:tcW w:type="dxa" w:w="3730"/>
          </w:tcPr>
          <w:p>
            <w:pPr>
              <w:spacing w:after="20" w:before="20"/>
              <w:jc w:val="left"/>
            </w:pPr>
            <w:r/>
            <w:r>
              <w:rPr>
                <w:rFonts w:ascii="Calibri" w:hAnsi="Calibri"/>
                <w:b w:val="0"/>
                <w:i w:val="0"/>
                <w:color w:val="1A1420"/>
                <w:sz w:val="19"/>
              </w:rPr>
              <w:t>handleCreate</w:t>
            </w:r>
          </w:p>
        </w:tc>
      </w:tr>
      <w:tr>
        <w:tc>
          <w:tcPr>
            <w:tcW w:type="dxa" w:w="1900"/>
          </w:tcPr>
          <w:p>
            <w:pPr>
              <w:spacing w:after="20" w:before="20"/>
              <w:jc w:val="left"/>
            </w:pPr>
            <w:r/>
            <w:r>
              <w:rPr>
                <w:rFonts w:ascii="Calibri" w:hAnsi="Calibri"/>
                <w:b/>
                <w:i w:val="0"/>
                <w:color w:val="1A1420"/>
                <w:sz w:val="19"/>
              </w:rPr>
              <w:t>Consultar</w:t>
            </w:r>
          </w:p>
        </w:tc>
        <w:tc>
          <w:tcPr>
            <w:tcW w:type="dxa" w:w="3730"/>
          </w:tcPr>
          <w:p>
            <w:pPr>
              <w:spacing w:after="20" w:before="20"/>
              <w:jc w:val="left"/>
            </w:pPr>
            <w:r/>
            <w:r>
              <w:rPr>
                <w:rFonts w:ascii="Calibri" w:hAnsi="Calibri"/>
                <w:b w:val="0"/>
                <w:i w:val="0"/>
                <w:color w:val="1A1420"/>
                <w:sz w:val="19"/>
              </w:rPr>
              <w:t>GetAccountPockets.execute</w:t>
            </w:r>
          </w:p>
        </w:tc>
        <w:tc>
          <w:tcPr>
            <w:tcW w:type="dxa" w:w="3730"/>
          </w:tcPr>
          <w:p>
            <w:pPr>
              <w:spacing w:after="20" w:before="20"/>
              <w:jc w:val="left"/>
            </w:pPr>
            <w:r/>
            <w:r>
              <w:rPr>
                <w:rFonts w:ascii="Calibri" w:hAnsi="Calibri"/>
                <w:b w:val="0"/>
                <w:i w:val="0"/>
                <w:color w:val="1A1420"/>
                <w:sz w:val="19"/>
              </w:rPr>
              <w:t>loadPockets</w:t>
            </w:r>
          </w:p>
        </w:tc>
      </w:tr>
      <w:tr>
        <w:tc>
          <w:tcPr>
            <w:tcW w:type="dxa" w:w="1900"/>
          </w:tcPr>
          <w:p>
            <w:pPr>
              <w:spacing w:after="20" w:before="20"/>
              <w:jc w:val="left"/>
            </w:pPr>
            <w:r/>
            <w:r>
              <w:rPr>
                <w:rFonts w:ascii="Calibri" w:hAnsi="Calibri"/>
                <w:b/>
                <w:i w:val="0"/>
                <w:color w:val="1A1420"/>
                <w:sz w:val="19"/>
              </w:rPr>
              <w:t>Actualizar</w:t>
            </w:r>
          </w:p>
        </w:tc>
        <w:tc>
          <w:tcPr>
            <w:tcW w:type="dxa" w:w="3730"/>
          </w:tcPr>
          <w:p>
            <w:pPr>
              <w:spacing w:after="20" w:before="20"/>
              <w:jc w:val="left"/>
            </w:pPr>
            <w:r/>
            <w:r>
              <w:rPr>
                <w:rFonts w:ascii="Calibri" w:hAnsi="Calibri"/>
                <w:b w:val="0"/>
                <w:i w:val="0"/>
                <w:color w:val="1A1420"/>
                <w:sz w:val="19"/>
              </w:rPr>
              <w:t>UpdatePocket.execute</w:t>
            </w:r>
          </w:p>
        </w:tc>
        <w:tc>
          <w:tcPr>
            <w:tcW w:type="dxa" w:w="3730"/>
          </w:tcPr>
          <w:p>
            <w:pPr>
              <w:spacing w:after="20" w:before="20"/>
              <w:jc w:val="left"/>
            </w:pPr>
            <w:r/>
            <w:r>
              <w:rPr>
                <w:rFonts w:ascii="Calibri" w:hAnsi="Calibri"/>
                <w:b w:val="0"/>
                <w:i w:val="0"/>
                <w:color w:val="1A1420"/>
                <w:sz w:val="19"/>
              </w:rPr>
              <w:t>handleSaveEdit</w:t>
            </w:r>
          </w:p>
        </w:tc>
      </w:tr>
      <w:tr>
        <w:tc>
          <w:tcPr>
            <w:tcW w:type="dxa" w:w="1900"/>
          </w:tcPr>
          <w:p>
            <w:pPr>
              <w:spacing w:after="20" w:before="20"/>
              <w:jc w:val="left"/>
            </w:pPr>
            <w:r/>
            <w:r>
              <w:rPr>
                <w:rFonts w:ascii="Calibri" w:hAnsi="Calibri"/>
                <w:b/>
                <w:i w:val="0"/>
                <w:color w:val="1A1420"/>
                <w:sz w:val="19"/>
              </w:rPr>
              <w:t>Eliminar</w:t>
            </w:r>
          </w:p>
        </w:tc>
        <w:tc>
          <w:tcPr>
            <w:tcW w:type="dxa" w:w="3730"/>
          </w:tcPr>
          <w:p>
            <w:pPr>
              <w:spacing w:after="20" w:before="20"/>
              <w:jc w:val="left"/>
            </w:pPr>
            <w:r/>
            <w:r>
              <w:rPr>
                <w:rFonts w:ascii="Calibri" w:hAnsi="Calibri"/>
                <w:b w:val="0"/>
                <w:i w:val="0"/>
                <w:color w:val="1A1420"/>
                <w:sz w:val="19"/>
              </w:rPr>
              <w:t>DeletePocket.execute</w:t>
            </w:r>
          </w:p>
        </w:tc>
        <w:tc>
          <w:tcPr>
            <w:tcW w:type="dxa" w:w="3730"/>
          </w:tcPr>
          <w:p>
            <w:pPr>
              <w:spacing w:after="20" w:before="20"/>
              <w:jc w:val="left"/>
            </w:pPr>
            <w:r/>
            <w:r>
              <w:rPr>
                <w:rFonts w:ascii="Calibri" w:hAnsi="Calibri"/>
                <w:b w:val="0"/>
                <w:i w:val="0"/>
                <w:color w:val="1A1420"/>
                <w:sz w:val="19"/>
              </w:rPr>
              <w:t>confirmDelete</w:t>
            </w:r>
          </w:p>
        </w:tc>
      </w:tr>
      <w:tr>
        <w:tc>
          <w:tcPr>
            <w:tcW w:type="dxa" w:w="1900"/>
          </w:tcPr>
          <w:p>
            <w:pPr>
              <w:spacing w:after="20" w:before="20"/>
              <w:jc w:val="left"/>
            </w:pPr>
            <w:r/>
            <w:r>
              <w:rPr>
                <w:rFonts w:ascii="Calibri" w:hAnsi="Calibri"/>
                <w:b/>
                <w:i w:val="0"/>
                <w:color w:val="1A1420"/>
                <w:sz w:val="19"/>
              </w:rPr>
              <w:t>Transferir</w:t>
            </w:r>
          </w:p>
        </w:tc>
        <w:tc>
          <w:tcPr>
            <w:tcW w:type="dxa" w:w="3730"/>
          </w:tcPr>
          <w:p>
            <w:pPr>
              <w:spacing w:after="20" w:before="20"/>
              <w:jc w:val="left"/>
            </w:pPr>
            <w:r/>
            <w:r>
              <w:rPr>
                <w:rFonts w:ascii="Calibri" w:hAnsi="Calibri"/>
                <w:b w:val="0"/>
                <w:i w:val="0"/>
                <w:color w:val="1A1420"/>
                <w:sz w:val="19"/>
              </w:rPr>
              <w:t>TransferPocketBalance.execute</w:t>
            </w:r>
          </w:p>
        </w:tc>
        <w:tc>
          <w:tcPr>
            <w:tcW w:type="dxa" w:w="3730"/>
          </w:tcPr>
          <w:p>
            <w:pPr>
              <w:spacing w:after="20" w:before="20"/>
              <w:jc w:val="left"/>
            </w:pPr>
            <w:r/>
            <w:r>
              <w:rPr>
                <w:rFonts w:ascii="Calibri" w:hAnsi="Calibri"/>
                <w:b w:val="0"/>
                <w:i w:val="0"/>
                <w:color w:val="1A1420"/>
                <w:sz w:val="19"/>
              </w:rPr>
              <w:t>handleTransfer</w:t>
            </w:r>
          </w:p>
        </w:tc>
      </w:tr>
    </w:tbl>
    <w:p>
      <w:pPr>
        <w:spacing w:after="40"/>
      </w:pPr>
    </w:p>
    <w:p>
      <w:pPr>
        <w:pStyle w:val="Heading2"/>
      </w:pPr>
      <w:r>
        <w:t>1.3 ¿Backend y frontend juntos o por separado?</w:t>
      </w:r>
    </w:p>
    <w:p>
      <w:pPr>
        <w:spacing w:after="120"/>
        <w:jc w:val="both"/>
      </w:pPr>
      <w:r>
        <w:rPr>
          <w:b w:val="0"/>
          <w:i w:val="0"/>
          <w:color w:val="1A1420"/>
          <w:sz w:val="21"/>
        </w:rPr>
        <w:t>Se calculan por separado y solo se consolida lo que es sumable. La razón es que las dos capas se probaron con criterios de cobertura incompatibles: el backend con pruebas funcionales (cobertura de decisión / de requisitos) y el frontend con pruebas de caja blanca (cobertura de caminos independientes derivados del diagrama Frontend.drawio). Promediar “85 % de decisiones” con “100 % de caminos” daría un número sin significado. Por eso las tablas muestran cada capa en su propia fila y solo se suman los conteos homogéneos: número de casos, defectos y densidad combinada.</w:t>
      </w:r>
    </w:p>
    <w:p>
      <w:pPr>
        <w:pStyle w:val="Heading2"/>
      </w:pPr>
      <w:r>
        <w:t>1.4 Convenciones y supuestos</w:t>
      </w:r>
    </w:p>
    <w:p>
      <w:pPr>
        <w:pStyle w:val="ListBullet"/>
        <w:spacing w:after="60"/>
      </w:pPr>
      <w:r>
        <w:rPr>
          <w:b/>
          <w:color w:val="1A1420"/>
          <w:sz w:val="21"/>
        </w:rPr>
        <w:t xml:space="preserve">D = 0 (defectos post-entrega): </w:t>
      </w:r>
      <w:r>
        <w:rPr>
          <w:color w:val="1A1420"/>
          <w:sz w:val="21"/>
        </w:rPr>
        <w:t>el módulo aún no está en producción, por lo que no hay defectos reportados por usuarios finales. Esto hace que la Eficacia de Eliminación de Defectos sea 100 %.</w:t>
      </w:r>
    </w:p>
    <w:p>
      <w:pPr>
        <w:pStyle w:val="ListBullet"/>
        <w:spacing w:after="60"/>
      </w:pPr>
      <w:r>
        <w:rPr>
          <w:b/>
          <w:color w:val="1A1420"/>
          <w:sz w:val="21"/>
        </w:rPr>
        <w:t xml:space="preserve">V(G) = Decisiones + 1, a nivel de predicado: </w:t>
      </w:r>
      <w:r>
        <w:rPr>
          <w:color w:val="1A1420"/>
          <w:sz w:val="21"/>
        </w:rPr>
        <w:t>cada sentencia if / catch cuenta como una decisión; las condiciones compuestas (||, &amp;&amp;) no suman caminos, pero sí se analizan aparte como cobertura de condición (Clase 09, diap. 20).</w:t>
      </w:r>
    </w:p>
    <w:p>
      <w:pPr>
        <w:pStyle w:val="ListBullet"/>
        <w:spacing w:after="60"/>
      </w:pPr>
      <w:r>
        <w:rPr>
          <w:b/>
          <w:color w:val="1A1420"/>
          <w:sz w:val="21"/>
        </w:rPr>
        <w:t xml:space="preserve">Fuente de los datos: </w:t>
      </w:r>
      <w:r>
        <w:rPr>
          <w:color w:val="1A1420"/>
          <w:sz w:val="21"/>
        </w:rPr>
        <w:t>las métricas estructurales (V(G), complejidad cognitiva, LoC, cobertura de caminos) se obtienen por análisis estático del código y son exactas. Los tiempos de respuesta y el uso de CPU/memoria requieren una corrida instrumentada y quedan señalados como pendientes.</w:t>
      </w:r>
    </w:p>
    <w:p>
      <w:pPr>
        <w:pStyle w:val="Heading2"/>
      </w:pPr>
      <w:r>
        <w:t>1.5 Clasificación de métricas usada</w:t>
      </w:r>
    </w:p>
    <w:p>
      <w:pPr>
        <w:spacing w:after="120"/>
        <w:jc w:val="left"/>
      </w:pPr>
      <w:r>
        <w:rPr>
          <w:b w:val="0"/>
          <w:i w:val="0"/>
          <w:color w:val="1A1420"/>
          <w:sz w:val="21"/>
        </w:rPr>
        <w:t>De la clasificación de la Clase 09 (diapositiva 9) este documento desarrolla las tres categorías solicitadas, que son las que aplican a un proyecto con pruebas ya construidas:</w:t>
      </w:r>
    </w:p>
    <w:p>
      <w:pPr>
        <w:pStyle w:val="ListBullet"/>
        <w:spacing w:after="60"/>
      </w:pPr>
      <w:r>
        <w:rPr>
          <w:b/>
          <w:color w:val="1A1420"/>
          <w:sz w:val="21"/>
        </w:rPr>
        <w:t xml:space="preserve">Métricas de Pruebas: </w:t>
      </w:r>
      <w:r>
        <w:rPr>
          <w:color w:val="1A1420"/>
          <w:sz w:val="21"/>
        </w:rPr>
        <w:t>cobertura, EED, número de errores, cobertura de requisitos.</w:t>
      </w:r>
    </w:p>
    <w:p>
      <w:pPr>
        <w:pStyle w:val="ListBullet"/>
        <w:spacing w:after="60"/>
      </w:pPr>
      <w:r>
        <w:rPr>
          <w:b/>
          <w:color w:val="1A1420"/>
          <w:sz w:val="21"/>
        </w:rPr>
        <w:t xml:space="preserve">Métricas Estructurales: </w:t>
      </w:r>
      <w:r>
        <w:rPr>
          <w:color w:val="1A1420"/>
          <w:sz w:val="21"/>
        </w:rPr>
        <w:t>complejidad ciclomática y cognitiva, cobertura de caminos.</w:t>
      </w:r>
    </w:p>
    <w:p>
      <w:pPr>
        <w:pStyle w:val="ListBullet"/>
        <w:spacing w:after="60"/>
      </w:pPr>
      <w:r>
        <w:rPr>
          <w:b/>
          <w:color w:val="1A1420"/>
          <w:sz w:val="21"/>
        </w:rPr>
        <w:t xml:space="preserve">Métricas de Calidad del Producto (ISO 25010): </w:t>
      </w:r>
      <w:r>
        <w:rPr>
          <w:color w:val="1A1420"/>
          <w:sz w:val="21"/>
        </w:rPr>
        <w:t>mantenibilidad, fiabilidad, eficiencia de desempeño y seguridad.</w:t>
      </w:r>
    </w:p>
    <w:p>
      <w:pPr>
        <w:pStyle w:val="Heading1"/>
      </w:pPr>
      <w:r>
        <w:t>2. Origen de los datos (cómo se midió cada cosa)</w:t>
      </w:r>
    </w:p>
    <w:p>
      <w:pPr>
        <w:spacing w:after="120"/>
        <w:jc w:val="left"/>
      </w:pPr>
      <w:r>
        <w:rPr>
          <w:b w:val="0"/>
          <w:i w:val="0"/>
          <w:color w:val="1A1420"/>
          <w:sz w:val="21"/>
        </w:rPr>
        <w:t>Todas las cifras del documento se derivan de cuatro fuentes verificables del repositorio. Esta tabla es la que hace auditable el resto: cualquier número puede rastrearse hasta el archivo del que salió.</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00"/>
            <w:shd w:val="clear" w:color="auto" w:fill="820AD1"/>
          </w:tcPr>
          <w:p>
            <w:pPr>
              <w:spacing w:after="20" w:before="20"/>
              <w:jc w:val="center"/>
            </w:pPr>
            <w:r/>
            <w:r>
              <w:rPr>
                <w:rFonts w:ascii="Calibri" w:hAnsi="Calibri"/>
                <w:b/>
                <w:i w:val="0"/>
                <w:color w:val="FFFFFF"/>
                <w:sz w:val="18"/>
              </w:rPr>
              <w:t>Dato</w:t>
            </w:r>
          </w:p>
        </w:tc>
        <w:tc>
          <w:tcPr>
            <w:tcW w:type="dxa" w:w="3560"/>
            <w:shd w:val="clear" w:color="auto" w:fill="820AD1"/>
          </w:tcPr>
          <w:p>
            <w:pPr>
              <w:spacing w:after="20" w:before="20"/>
              <w:jc w:val="center"/>
            </w:pPr>
            <w:r/>
            <w:r>
              <w:rPr>
                <w:rFonts w:ascii="Calibri" w:hAnsi="Calibri"/>
                <w:b/>
                <w:i w:val="0"/>
                <w:color w:val="FFFFFF"/>
                <w:sz w:val="18"/>
              </w:rPr>
              <w:t>Cómo se obtuvo</w:t>
            </w:r>
          </w:p>
        </w:tc>
        <w:tc>
          <w:tcPr>
            <w:tcW w:type="dxa" w:w="4100"/>
            <w:shd w:val="clear" w:color="auto" w:fill="820AD1"/>
          </w:tcPr>
          <w:p>
            <w:pPr>
              <w:spacing w:after="20" w:before="20"/>
              <w:jc w:val="center"/>
            </w:pPr>
            <w:r/>
            <w:r>
              <w:rPr>
                <w:rFonts w:ascii="Calibri" w:hAnsi="Calibri"/>
                <w:b/>
                <w:i w:val="0"/>
                <w:color w:val="FFFFFF"/>
                <w:sz w:val="18"/>
              </w:rPr>
              <w:t>Archivo(s) del repositorio</w:t>
            </w:r>
          </w:p>
        </w:tc>
      </w:tr>
      <w:tr>
        <w:tc>
          <w:tcPr>
            <w:tcW w:type="dxa" w:w="1700"/>
          </w:tcPr>
          <w:p>
            <w:pPr>
              <w:spacing w:after="20" w:before="20"/>
              <w:jc w:val="left"/>
            </w:pPr>
            <w:r/>
            <w:r>
              <w:rPr>
                <w:rFonts w:ascii="Calibri" w:hAnsi="Calibri"/>
                <w:b/>
                <w:i w:val="0"/>
                <w:color w:val="1A1420"/>
                <w:sz w:val="18"/>
              </w:rPr>
              <w:t>Decisiones y V(G)</w:t>
            </w:r>
          </w:p>
        </w:tc>
        <w:tc>
          <w:tcPr>
            <w:tcW w:type="dxa" w:w="3560"/>
          </w:tcPr>
          <w:p>
            <w:pPr>
              <w:spacing w:after="20" w:before="20"/>
              <w:jc w:val="left"/>
            </w:pPr>
            <w:r/>
            <w:r>
              <w:rPr>
                <w:rFonts w:ascii="Calibri" w:hAnsi="Calibri"/>
                <w:b w:val="0"/>
                <w:i w:val="0"/>
                <w:color w:val="1A1420"/>
                <w:sz w:val="18"/>
              </w:rPr>
              <w:t>Conteo manual de sentencias if/catch en cada método</w:t>
            </w:r>
          </w:p>
        </w:tc>
        <w:tc>
          <w:tcPr>
            <w:tcW w:type="dxa" w:w="4100"/>
          </w:tcPr>
          <w:p>
            <w:pPr>
              <w:spacing w:after="20" w:before="20"/>
              <w:jc w:val="left"/>
            </w:pPr>
            <w:r/>
            <w:r>
              <w:rPr>
                <w:rFonts w:ascii="Calibri" w:hAnsi="Calibri"/>
                <w:b w:val="0"/>
                <w:i w:val="0"/>
                <w:color w:val="1A1420"/>
                <w:sz w:val="18"/>
              </w:rPr>
              <w:t>use-cases/pocket/*.ts · pocket.handlers.ts</w:t>
            </w:r>
          </w:p>
        </w:tc>
      </w:tr>
      <w:tr>
        <w:tc>
          <w:tcPr>
            <w:tcW w:type="dxa" w:w="1700"/>
          </w:tcPr>
          <w:p>
            <w:pPr>
              <w:spacing w:after="20" w:before="20"/>
              <w:jc w:val="left"/>
            </w:pPr>
            <w:r/>
            <w:r>
              <w:rPr>
                <w:rFonts w:ascii="Calibri" w:hAnsi="Calibri"/>
                <w:b/>
                <w:i w:val="0"/>
                <w:color w:val="1A1420"/>
                <w:sz w:val="18"/>
              </w:rPr>
              <w:t>Complejidad cognitiva</w:t>
            </w:r>
          </w:p>
        </w:tc>
        <w:tc>
          <w:tcPr>
            <w:tcW w:type="dxa" w:w="3560"/>
          </w:tcPr>
          <w:p>
            <w:pPr>
              <w:spacing w:after="20" w:before="20"/>
              <w:jc w:val="left"/>
            </w:pPr>
            <w:r/>
            <w:r>
              <w:rPr>
                <w:rFonts w:ascii="Calibri" w:hAnsi="Calibri"/>
                <w:b w:val="0"/>
                <w:i w:val="0"/>
                <w:color w:val="1A1420"/>
                <w:sz w:val="18"/>
              </w:rPr>
              <w:t>Incrementos por decisión, anidamiento y operadores lógicos</w:t>
            </w:r>
          </w:p>
        </w:tc>
        <w:tc>
          <w:tcPr>
            <w:tcW w:type="dxa" w:w="4100"/>
          </w:tcPr>
          <w:p>
            <w:pPr>
              <w:spacing w:after="20" w:before="20"/>
              <w:jc w:val="left"/>
            </w:pPr>
            <w:r/>
            <w:r>
              <w:rPr>
                <w:rFonts w:ascii="Calibri" w:hAnsi="Calibri"/>
                <w:b w:val="0"/>
                <w:i w:val="0"/>
                <w:color w:val="1A1420"/>
                <w:sz w:val="18"/>
              </w:rPr>
              <w:t>mismos archivos de producción</w:t>
            </w:r>
          </w:p>
        </w:tc>
      </w:tr>
      <w:tr>
        <w:tc>
          <w:tcPr>
            <w:tcW w:type="dxa" w:w="1700"/>
          </w:tcPr>
          <w:p>
            <w:pPr>
              <w:spacing w:after="20" w:before="20"/>
              <w:jc w:val="left"/>
            </w:pPr>
            <w:r/>
            <w:r>
              <w:rPr>
                <w:rFonts w:ascii="Calibri" w:hAnsi="Calibri"/>
                <w:b/>
                <w:i w:val="0"/>
                <w:color w:val="1A1420"/>
                <w:sz w:val="18"/>
              </w:rPr>
              <w:t>LoC (SLOC)</w:t>
            </w:r>
          </w:p>
        </w:tc>
        <w:tc>
          <w:tcPr>
            <w:tcW w:type="dxa" w:w="3560"/>
          </w:tcPr>
          <w:p>
            <w:pPr>
              <w:spacing w:after="20" w:before="20"/>
              <w:jc w:val="left"/>
            </w:pPr>
            <w:r/>
            <w:r>
              <w:rPr>
                <w:rFonts w:ascii="Calibri" w:hAnsi="Calibri"/>
                <w:b w:val="0"/>
                <w:i w:val="0"/>
                <w:color w:val="1A1420"/>
                <w:sz w:val="18"/>
              </w:rPr>
              <w:t>Conteo automático de líneas sin blancos ni comentarios</w:t>
            </w:r>
          </w:p>
        </w:tc>
        <w:tc>
          <w:tcPr>
            <w:tcW w:type="dxa" w:w="4100"/>
          </w:tcPr>
          <w:p>
            <w:pPr>
              <w:spacing w:after="20" w:before="20"/>
              <w:jc w:val="left"/>
            </w:pPr>
            <w:r/>
            <w:r>
              <w:rPr>
                <w:rFonts w:ascii="Calibri" w:hAnsi="Calibri"/>
                <w:b w:val="0"/>
                <w:i w:val="0"/>
                <w:color w:val="1A1420"/>
                <w:sz w:val="18"/>
              </w:rPr>
              <w:t>script estático sobre los .ts de producción</w:t>
            </w:r>
          </w:p>
        </w:tc>
      </w:tr>
      <w:tr>
        <w:tc>
          <w:tcPr>
            <w:tcW w:type="dxa" w:w="1700"/>
          </w:tcPr>
          <w:p>
            <w:pPr>
              <w:spacing w:after="20" w:before="20"/>
              <w:jc w:val="left"/>
            </w:pPr>
            <w:r/>
            <w:r>
              <w:rPr>
                <w:rFonts w:ascii="Calibri" w:hAnsi="Calibri"/>
                <w:b/>
                <w:i w:val="0"/>
                <w:color w:val="1A1420"/>
                <w:sz w:val="18"/>
              </w:rPr>
              <w:t>Casos y caminos</w:t>
            </w:r>
          </w:p>
        </w:tc>
        <w:tc>
          <w:tcPr>
            <w:tcW w:type="dxa" w:w="3560"/>
          </w:tcPr>
          <w:p>
            <w:pPr>
              <w:spacing w:after="20" w:before="20"/>
              <w:jc w:val="left"/>
            </w:pPr>
            <w:r/>
            <w:r>
              <w:rPr>
                <w:rFonts w:ascii="Calibri" w:hAnsi="Calibri"/>
                <w:b w:val="0"/>
                <w:i w:val="0"/>
                <w:color w:val="1A1420"/>
                <w:sz w:val="18"/>
              </w:rPr>
              <w:t>Conteo de casos declarados en las suites</w:t>
            </w:r>
          </w:p>
        </w:tc>
        <w:tc>
          <w:tcPr>
            <w:tcW w:type="dxa" w:w="4100"/>
          </w:tcPr>
          <w:p>
            <w:pPr>
              <w:spacing w:after="20" w:before="20"/>
              <w:jc w:val="left"/>
            </w:pPr>
            <w:r/>
            <w:r>
              <w:rPr>
                <w:rFonts w:ascii="Calibri" w:hAnsi="Calibri"/>
                <w:b w:val="0"/>
                <w:i w:val="0"/>
                <w:color w:val="1A1420"/>
                <w:sz w:val="18"/>
              </w:rPr>
              <w:t>tests/unit/*.ts (backend) · tests/unit/*.paths.ts (frontend)</w:t>
            </w:r>
          </w:p>
        </w:tc>
      </w:tr>
      <w:tr>
        <w:tc>
          <w:tcPr>
            <w:tcW w:type="dxa" w:w="1700"/>
          </w:tcPr>
          <w:p>
            <w:pPr>
              <w:spacing w:after="20" w:before="20"/>
              <w:jc w:val="left"/>
            </w:pPr>
            <w:r/>
            <w:r>
              <w:rPr>
                <w:rFonts w:ascii="Calibri" w:hAnsi="Calibri"/>
                <w:b/>
                <w:i w:val="0"/>
                <w:color w:val="1A1420"/>
                <w:sz w:val="18"/>
              </w:rPr>
              <w:t>Defectos (E)</w:t>
            </w:r>
          </w:p>
        </w:tc>
        <w:tc>
          <w:tcPr>
            <w:tcW w:type="dxa" w:w="3560"/>
          </w:tcPr>
          <w:p>
            <w:pPr>
              <w:spacing w:after="20" w:before="20"/>
              <w:jc w:val="left"/>
            </w:pPr>
            <w:r/>
            <w:r>
              <w:rPr>
                <w:rFonts w:ascii="Calibri" w:hAnsi="Calibri"/>
                <w:b w:val="0"/>
                <w:i w:val="0"/>
                <w:color w:val="1A1420"/>
                <w:sz w:val="18"/>
              </w:rPr>
              <w:t>Campo 'defecto' declarado en cada caso que falla</w:t>
            </w:r>
          </w:p>
        </w:tc>
        <w:tc>
          <w:tcPr>
            <w:tcW w:type="dxa" w:w="4100"/>
          </w:tcPr>
          <w:p>
            <w:pPr>
              <w:spacing w:after="20" w:before="20"/>
              <w:jc w:val="left"/>
            </w:pPr>
            <w:r/>
            <w:r>
              <w:rPr>
                <w:rFonts w:ascii="Calibri" w:hAnsi="Calibri"/>
                <w:b w:val="0"/>
                <w:i w:val="0"/>
                <w:color w:val="1A1420"/>
                <w:sz w:val="18"/>
              </w:rPr>
              <w:t>pocket.use-cases.ts, pocket.validators.ts, pocket.entity.ts</w:t>
            </w:r>
          </w:p>
        </w:tc>
      </w:tr>
      <w:tr>
        <w:tc>
          <w:tcPr>
            <w:tcW w:type="dxa" w:w="1700"/>
          </w:tcPr>
          <w:p>
            <w:pPr>
              <w:spacing w:after="20" w:before="20"/>
              <w:jc w:val="left"/>
            </w:pPr>
            <w:r/>
            <w:r>
              <w:rPr>
                <w:rFonts w:ascii="Calibri" w:hAnsi="Calibri"/>
                <w:b/>
                <w:i w:val="0"/>
                <w:color w:val="1A1420"/>
                <w:sz w:val="18"/>
              </w:rPr>
              <w:t>Ramas cubiertas</w:t>
            </w:r>
          </w:p>
        </w:tc>
        <w:tc>
          <w:tcPr>
            <w:tcW w:type="dxa" w:w="3560"/>
          </w:tcPr>
          <w:p>
            <w:pPr>
              <w:spacing w:after="20" w:before="20"/>
              <w:jc w:val="left"/>
            </w:pPr>
            <w:r/>
            <w:r>
              <w:rPr>
                <w:rFonts w:ascii="Calibri" w:hAnsi="Calibri"/>
                <w:b w:val="0"/>
                <w:i w:val="0"/>
                <w:color w:val="1A1420"/>
                <w:sz w:val="18"/>
              </w:rPr>
              <w:t>Análisis de qué rama T/F ejercita cada caso</w:t>
            </w:r>
          </w:p>
        </w:tc>
        <w:tc>
          <w:tcPr>
            <w:tcW w:type="dxa" w:w="4100"/>
          </w:tcPr>
          <w:p>
            <w:pPr>
              <w:spacing w:after="20" w:before="20"/>
              <w:jc w:val="left"/>
            </w:pPr>
            <w:r/>
            <w:r>
              <w:rPr>
                <w:rFonts w:ascii="Calibri" w:hAnsi="Calibri"/>
                <w:b w:val="0"/>
                <w:i w:val="0"/>
                <w:color w:val="1A1420"/>
                <w:sz w:val="18"/>
              </w:rPr>
              <w:t>cruce casos ↔ decisiones del código</w:t>
            </w:r>
          </w:p>
        </w:tc>
      </w:tr>
    </w:tbl>
    <w:p>
      <w:pPr>
        <w:spacing w:after="40"/>
      </w:pPr>
    </w:p>
    <w:p>
      <w:pPr>
        <w:spacing w:after="120"/>
        <w:jc w:val="left"/>
      </w:pPr>
      <w:r>
        <w:rPr>
          <w:b w:val="0"/>
          <w:i w:val="0"/>
          <w:color w:val="1A1420"/>
          <w:sz w:val="20"/>
        </w:rPr>
        <w:t>Resumen de tamaño del código bajo prueba (SLOC = líneas de código sin blancos ni comentarios):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00"/>
            <w:shd w:val="clear" w:color="auto" w:fill="820AD1"/>
          </w:tcPr>
          <w:p>
            <w:pPr>
              <w:spacing w:after="20" w:before="20"/>
              <w:jc w:val="center"/>
            </w:pPr>
            <w:r/>
            <w:r>
              <w:rPr>
                <w:rFonts w:ascii="Calibri" w:hAnsi="Calibri"/>
                <w:b/>
                <w:i w:val="0"/>
                <w:color w:val="FFFFFF"/>
                <w:sz w:val="18"/>
              </w:rPr>
              <w:t>Capa</w:t>
            </w:r>
          </w:p>
        </w:tc>
        <w:tc>
          <w:tcPr>
            <w:tcW w:type="dxa" w:w="6360"/>
            <w:shd w:val="clear" w:color="auto" w:fill="820AD1"/>
          </w:tcPr>
          <w:p>
            <w:pPr>
              <w:spacing w:after="20" w:before="20"/>
              <w:jc w:val="center"/>
            </w:pPr>
            <w:r/>
            <w:r>
              <w:rPr>
                <w:rFonts w:ascii="Calibri" w:hAnsi="Calibri"/>
                <w:b/>
                <w:i w:val="0"/>
                <w:color w:val="FFFFFF"/>
                <w:sz w:val="18"/>
              </w:rPr>
              <w:t>Composición</w:t>
            </w:r>
          </w:p>
        </w:tc>
        <w:tc>
          <w:tcPr>
            <w:tcW w:type="dxa" w:w="1500"/>
            <w:shd w:val="clear" w:color="auto" w:fill="820AD1"/>
          </w:tcPr>
          <w:p>
            <w:pPr>
              <w:spacing w:after="20" w:before="20"/>
              <w:jc w:val="center"/>
            </w:pPr>
            <w:r/>
            <w:r>
              <w:rPr>
                <w:rFonts w:ascii="Calibri" w:hAnsi="Calibri"/>
                <w:b/>
                <w:i w:val="0"/>
                <w:color w:val="FFFFFF"/>
                <w:sz w:val="18"/>
              </w:rPr>
              <w:t>SLOC</w:t>
            </w:r>
          </w:p>
        </w:tc>
      </w:tr>
      <w:tr>
        <w:tc>
          <w:tcPr>
            <w:tcW w:type="dxa" w:w="1500"/>
          </w:tcPr>
          <w:p>
            <w:pPr>
              <w:spacing w:after="20" w:before="20"/>
              <w:jc w:val="left"/>
            </w:pPr>
            <w:r/>
            <w:r>
              <w:rPr>
                <w:rFonts w:ascii="Calibri" w:hAnsi="Calibri"/>
                <w:b/>
                <w:i w:val="0"/>
                <w:color w:val="1A1420"/>
                <w:sz w:val="19"/>
              </w:rPr>
              <w:t>Backend</w:t>
            </w:r>
          </w:p>
        </w:tc>
        <w:tc>
          <w:tcPr>
            <w:tcW w:type="dxa" w:w="6360"/>
          </w:tcPr>
          <w:p>
            <w:pPr>
              <w:spacing w:after="20" w:before="20"/>
              <w:jc w:val="left"/>
            </w:pPr>
            <w:r/>
            <w:r>
              <w:rPr>
                <w:rFonts w:ascii="Calibri" w:hAnsi="Calibri"/>
                <w:b w:val="0"/>
                <w:i w:val="0"/>
                <w:color w:val="1A1420"/>
                <w:sz w:val="19"/>
              </w:rPr>
              <w:t>5 casos de uso (261) + Entidad Pocket (95) + Validadores (17)</w:t>
            </w:r>
          </w:p>
        </w:tc>
        <w:tc>
          <w:tcPr>
            <w:tcW w:type="dxa" w:w="1500"/>
          </w:tcPr>
          <w:p>
            <w:pPr>
              <w:spacing w:after="20" w:before="20"/>
              <w:jc w:val="center"/>
            </w:pPr>
            <w:r/>
            <w:r>
              <w:rPr>
                <w:rFonts w:ascii="Calibri" w:hAnsi="Calibri"/>
                <w:b w:val="0"/>
                <w:i w:val="0"/>
                <w:color w:val="1A1420"/>
                <w:sz w:val="19"/>
              </w:rPr>
              <w:t>373</w:t>
            </w:r>
          </w:p>
        </w:tc>
      </w:tr>
      <w:tr>
        <w:tc>
          <w:tcPr>
            <w:tcW w:type="dxa" w:w="1500"/>
          </w:tcPr>
          <w:p>
            <w:pPr>
              <w:spacing w:after="20" w:before="20"/>
              <w:jc w:val="left"/>
            </w:pPr>
            <w:r/>
            <w:r>
              <w:rPr>
                <w:rFonts w:ascii="Calibri" w:hAnsi="Calibri"/>
                <w:b/>
                <w:i w:val="0"/>
                <w:color w:val="1A1420"/>
                <w:sz w:val="19"/>
              </w:rPr>
              <w:t>Frontend</w:t>
            </w:r>
          </w:p>
        </w:tc>
        <w:tc>
          <w:tcPr>
            <w:tcW w:type="dxa" w:w="6360"/>
          </w:tcPr>
          <w:p>
            <w:pPr>
              <w:spacing w:after="20" w:before="20"/>
              <w:jc w:val="left"/>
            </w:pPr>
            <w:r/>
            <w:r>
              <w:rPr>
                <w:rFonts w:ascii="Calibri" w:hAnsi="Calibri"/>
                <w:b w:val="0"/>
                <w:i w:val="0"/>
                <w:color w:val="1A1420"/>
                <w:sz w:val="19"/>
              </w:rPr>
              <w:t>pocket.handlers.ts (6 handlers)</w:t>
            </w:r>
          </w:p>
        </w:tc>
        <w:tc>
          <w:tcPr>
            <w:tcW w:type="dxa" w:w="1500"/>
          </w:tcPr>
          <w:p>
            <w:pPr>
              <w:spacing w:after="20" w:before="20"/>
              <w:jc w:val="center"/>
            </w:pPr>
            <w:r/>
            <w:r>
              <w:rPr>
                <w:rFonts w:ascii="Calibri" w:hAnsi="Calibri"/>
                <w:b w:val="0"/>
                <w:i w:val="0"/>
                <w:color w:val="1A1420"/>
                <w:sz w:val="19"/>
              </w:rPr>
              <w:t>171</w:t>
            </w:r>
          </w:p>
        </w:tc>
      </w:tr>
      <w:tr>
        <w:tc>
          <w:tcPr>
            <w:tcW w:type="dxa" w:w="1500"/>
            <w:shd w:val="clear" w:color="auto" w:fill="E6E1EC"/>
          </w:tcPr>
          <w:p>
            <w:pPr>
              <w:spacing w:after="20" w:before="20"/>
              <w:jc w:val="left"/>
            </w:pPr>
            <w:r/>
            <w:r>
              <w:rPr>
                <w:rFonts w:ascii="Calibri" w:hAnsi="Calibri"/>
                <w:b/>
                <w:i w:val="0"/>
                <w:color w:val="1A1420"/>
                <w:sz w:val="19"/>
              </w:rPr>
              <w:t>Combinado</w:t>
            </w:r>
          </w:p>
        </w:tc>
        <w:tc>
          <w:tcPr>
            <w:tcW w:type="dxa" w:w="6360"/>
            <w:shd w:val="clear" w:color="auto" w:fill="E6E1EC"/>
          </w:tcPr>
          <w:p>
            <w:pPr>
              <w:spacing w:after="20" w:before="20"/>
              <w:jc w:val="left"/>
            </w:pPr>
            <w:r/>
            <w:r>
              <w:rPr>
                <w:rFonts w:ascii="Calibri" w:hAnsi="Calibri"/>
                <w:b w:val="0"/>
                <w:i w:val="0"/>
                <w:color w:val="1A1420"/>
                <w:sz w:val="19"/>
              </w:rPr>
              <w:t>Backend + Frontend</w:t>
            </w:r>
          </w:p>
        </w:tc>
        <w:tc>
          <w:tcPr>
            <w:tcW w:type="dxa" w:w="1500"/>
            <w:shd w:val="clear" w:color="auto" w:fill="E6E1EC"/>
          </w:tcPr>
          <w:p>
            <w:pPr>
              <w:spacing w:after="20" w:before="20"/>
              <w:jc w:val="center"/>
            </w:pPr>
            <w:r/>
            <w:r>
              <w:rPr>
                <w:rFonts w:ascii="Calibri" w:hAnsi="Calibri"/>
                <w:b w:val="0"/>
                <w:i w:val="0"/>
                <w:color w:val="1A1420"/>
                <w:sz w:val="19"/>
              </w:rPr>
              <w:t>544</w:t>
            </w:r>
          </w:p>
        </w:tc>
      </w:tr>
    </w:tbl>
    <w:p>
      <w:pPr>
        <w:spacing w:after="40"/>
      </w:pPr>
    </w:p>
    <w:p>
      <w:r>
        <w:br w:type="page"/>
      </w:r>
    </w:p>
    <w:p>
      <w:pPr>
        <w:pStyle w:val="Heading1"/>
      </w:pPr>
      <w:r>
        <w:t>3. Métricas de Pruebas</w:t>
      </w:r>
    </w:p>
    <w:p>
      <w:pPr>
        <w:spacing w:after="120"/>
        <w:jc w:val="both"/>
      </w:pPr>
      <w:r>
        <w:rPr>
          <w:b w:val="0"/>
          <w:i w:val="0"/>
          <w:color w:val="1A1420"/>
          <w:sz w:val="21"/>
        </w:rPr>
        <w:t>Responden a “¿cuánto se probó y con qué resultado?”. Se construyeron 82 pruebas en total: 65 casos unitarios en backend y 17 caminos de caja blanca en frontend.</w:t>
      </w:r>
    </w:p>
    <w:p>
      <w:pPr>
        <w:pStyle w:val="Heading2"/>
      </w:pPr>
      <w:r>
        <w:t>3.1 Cobertura de requisitos</w:t>
      </w:r>
    </w:p>
    <w:p>
      <w:pPr>
        <w:spacing w:after="120"/>
        <w:jc w:val="left"/>
      </w:pPr>
      <w:r>
        <w:rPr>
          <w:b w:val="0"/>
          <w:i w:val="0"/>
          <w:color w:val="1A1420"/>
          <w:sz w:val="21"/>
        </w:rPr>
        <w:t>Definición (Clase 09, diap. 17): relación entre los requisitos que se han probado y el total de requisitos.</w:t>
      </w:r>
    </w:p>
    <w:p>
      <w:pPr>
        <w:spacing w:before="40" w:after="120"/>
        <w:ind w:left="360"/>
      </w:pPr>
      <w:r>
        <w:rPr>
          <w:rFonts w:ascii="Consolas" w:hAnsi="Consolas"/>
          <w:b/>
          <w:color w:val="5E0A99"/>
          <w:sz w:val="21"/>
        </w:rPr>
        <w:t xml:space="preserve">  Cobertura de requisitos = Requisitos cubiertos por pruebas / Total de requisitos  </w:t>
      </w:r>
    </w:p>
    <w:p>
      <w:pPr>
        <w:spacing w:after="120"/>
        <w:jc w:val="left"/>
      </w:pPr>
      <w:r>
        <w:rPr>
          <w:b w:val="0"/>
          <w:i w:val="0"/>
          <w:color w:val="1A1420"/>
          <w:sz w:val="21"/>
        </w:rPr>
        <w:t>De dónde sale: cada una de las 5 funcionalidades tiene pruebas tanto en backend como en frontend (ver hoja de trazabilidad, sección 6). No hay funcionalidad sin cubrir.</w:t>
      </w:r>
    </w:p>
    <w:p>
      <w:pPr>
        <w:spacing w:before="40" w:after="120"/>
        <w:ind w:left="360"/>
      </w:pPr>
      <w:r>
        <w:rPr>
          <w:rFonts w:ascii="Consolas" w:hAnsi="Consolas"/>
          <w:b/>
          <w:color w:val="5E0A99"/>
          <w:sz w:val="21"/>
        </w:rPr>
        <w:t xml:space="preserve">  Cobertura = 5 / 5 = 100 %  </w:t>
      </w:r>
    </w:p>
    <w:p>
      <w:pPr>
        <w:spacing w:after="120"/>
        <w:jc w:val="both"/>
      </w:pPr>
      <w:r>
        <w:rPr>
          <w:b w:val="0"/>
          <w:i w:val="0"/>
          <w:color w:val="1A1420"/>
          <w:sz w:val="21"/>
        </w:rPr>
        <w:t>Interpretación: el umbral de la diapositiva 68 indica que una cobertura de requisitos &lt; 100 % implica validación incompleta. Aquí es 100 %: a nivel de funcionalidad no queda ningún requisito sin al menos un caso de prueba asociado.</w:t>
      </w:r>
    </w:p>
    <w:p>
      <w:pPr>
        <w:pStyle w:val="Heading2"/>
      </w:pPr>
      <w:r>
        <w:t>3.2 Cobertura estructural (de decisión) y de caminos</w:t>
      </w:r>
    </w:p>
    <w:p>
      <w:pPr>
        <w:spacing w:after="120"/>
        <w:jc w:val="left"/>
      </w:pPr>
      <w:r>
        <w:rPr>
          <w:b w:val="0"/>
          <w:i w:val="0"/>
          <w:color w:val="1A1420"/>
          <w:sz w:val="21"/>
        </w:rPr>
        <w:t>Definición (Clase 09, diap. 11-12): porcentaje de elementos del código ejecutados por las pruebas. En backend se mide como cobertura de decisión (ramas verdadero/falso ejercidas); en frontend como cobertura de caminos independientes (se detalla en la sección 4.3).</w:t>
      </w:r>
    </w:p>
    <w:p>
      <w:pPr>
        <w:spacing w:before="40" w:after="120"/>
        <w:ind w:left="360"/>
      </w:pPr>
      <w:r>
        <w:rPr>
          <w:rFonts w:ascii="Consolas" w:hAnsi="Consolas"/>
          <w:b/>
          <w:color w:val="5E0A99"/>
          <w:sz w:val="21"/>
        </w:rPr>
        <w:t xml:space="preserve">  Cobertura (%) = (Elementos ejecutados / Elementos totales) × 100  </w:t>
      </w:r>
    </w:p>
    <w:p>
      <w:pPr>
        <w:spacing w:after="120"/>
        <w:jc w:val="both"/>
      </w:pPr>
      <w:r>
        <w:rPr>
          <w:b w:val="0"/>
          <w:i w:val="0"/>
          <w:color w:val="1A1420"/>
          <w:sz w:val="21"/>
        </w:rPr>
        <w:t>De dónde salen las ramas: cada decisión de un caso de uso tiene dos ramas (la condición se cumple o no). Se revisó, caso por caso, cuál rama ejercita cada prueba. Un patrón encontrado explica las cifras por debajo de 100 %: en Actualizar, Eliminar y Transferir las ramas “cuenta no operativa”, “cuenta inexistente” y “sin repositorio de notificaciones” no se alcanzan, porque el escenario de pruebas siempre usa cuentas existentes, activas y con el repositorio de notificaciones inyectado.</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600"/>
            <w:shd w:val="clear" w:color="auto" w:fill="820AD1"/>
          </w:tcPr>
          <w:p>
            <w:pPr>
              <w:spacing w:after="20" w:before="20"/>
              <w:jc w:val="center"/>
            </w:pPr>
            <w:r/>
            <w:r>
              <w:rPr>
                <w:rFonts w:ascii="Calibri" w:hAnsi="Calibri"/>
                <w:b/>
                <w:i w:val="0"/>
                <w:color w:val="FFFFFF"/>
                <w:sz w:val="18"/>
              </w:rPr>
              <w:t>Funcionalidad (backend)</w:t>
            </w:r>
          </w:p>
        </w:tc>
        <w:tc>
          <w:tcPr>
            <w:tcW w:type="dxa" w:w="1350"/>
            <w:shd w:val="clear" w:color="auto" w:fill="820AD1"/>
          </w:tcPr>
          <w:p>
            <w:pPr>
              <w:spacing w:after="20" w:before="20"/>
              <w:jc w:val="center"/>
            </w:pPr>
            <w:r/>
            <w:r>
              <w:rPr>
                <w:rFonts w:ascii="Calibri" w:hAnsi="Calibri"/>
                <w:b/>
                <w:i w:val="0"/>
                <w:color w:val="FFFFFF"/>
                <w:sz w:val="18"/>
              </w:rPr>
              <w:t>Decisiones</w:t>
            </w:r>
          </w:p>
        </w:tc>
        <w:tc>
          <w:tcPr>
            <w:tcW w:type="dxa" w:w="1350"/>
            <w:shd w:val="clear" w:color="auto" w:fill="820AD1"/>
          </w:tcPr>
          <w:p>
            <w:pPr>
              <w:spacing w:after="20" w:before="20"/>
              <w:jc w:val="center"/>
            </w:pPr>
            <w:r/>
            <w:r>
              <w:rPr>
                <w:rFonts w:ascii="Calibri" w:hAnsi="Calibri"/>
                <w:b/>
                <w:i w:val="0"/>
                <w:color w:val="FFFFFF"/>
                <w:sz w:val="18"/>
              </w:rPr>
              <w:t>Ramas totales</w:t>
            </w:r>
          </w:p>
        </w:tc>
        <w:tc>
          <w:tcPr>
            <w:tcW w:type="dxa" w:w="1500"/>
            <w:shd w:val="clear" w:color="auto" w:fill="820AD1"/>
          </w:tcPr>
          <w:p>
            <w:pPr>
              <w:spacing w:after="20" w:before="20"/>
              <w:jc w:val="center"/>
            </w:pPr>
            <w:r/>
            <w:r>
              <w:rPr>
                <w:rFonts w:ascii="Calibri" w:hAnsi="Calibri"/>
                <w:b/>
                <w:i w:val="0"/>
                <w:color w:val="FFFFFF"/>
                <w:sz w:val="18"/>
              </w:rPr>
              <w:t>Ramas cubiertas</w:t>
            </w:r>
          </w:p>
        </w:tc>
        <w:tc>
          <w:tcPr>
            <w:tcW w:type="dxa" w:w="1280"/>
            <w:shd w:val="clear" w:color="auto" w:fill="820AD1"/>
          </w:tcPr>
          <w:p>
            <w:pPr>
              <w:spacing w:after="20" w:before="20"/>
              <w:jc w:val="center"/>
            </w:pPr>
            <w:r/>
            <w:r>
              <w:rPr>
                <w:rFonts w:ascii="Calibri" w:hAnsi="Calibri"/>
                <w:b/>
                <w:i w:val="0"/>
                <w:color w:val="FFFFFF"/>
                <w:sz w:val="18"/>
              </w:rPr>
              <w:t>Cobertura</w:t>
            </w:r>
          </w:p>
        </w:tc>
        <w:tc>
          <w:tcPr>
            <w:tcW w:type="dxa" w:w="1280"/>
            <w:shd w:val="clear" w:color="auto" w:fill="820AD1"/>
          </w:tcPr>
          <w:p>
            <w:pPr>
              <w:spacing w:after="20" w:before="20"/>
              <w:jc w:val="center"/>
            </w:pPr>
            <w:r/>
            <w:r>
              <w:rPr>
                <w:rFonts w:ascii="Calibri" w:hAnsi="Calibri"/>
                <w:b/>
                <w:i w:val="0"/>
                <w:color w:val="FFFFFF"/>
                <w:sz w:val="18"/>
              </w:rPr>
              <w:t>Estado (umbral 80 %)</w:t>
            </w:r>
          </w:p>
        </w:tc>
      </w:tr>
      <w:tr>
        <w:tc>
          <w:tcPr>
            <w:tcW w:type="dxa" w:w="2600"/>
            <w:shd w:val="clear" w:color="auto" w:fill="F4F0FA"/>
          </w:tcPr>
          <w:p>
            <w:pPr>
              <w:spacing w:after="20" w:before="20"/>
              <w:jc w:val="left"/>
            </w:pPr>
            <w:r/>
            <w:r>
              <w:rPr>
                <w:rFonts w:ascii="Calibri" w:hAnsi="Calibri"/>
                <w:b/>
                <w:i w:val="0"/>
                <w:color w:val="1A1420"/>
                <w:sz w:val="18"/>
              </w:rPr>
              <w:t>Crear</w:t>
            </w:r>
          </w:p>
        </w:tc>
        <w:tc>
          <w:tcPr>
            <w:tcW w:type="dxa" w:w="1350"/>
            <w:shd w:val="clear" w:color="auto" w:fill="F4F0FA"/>
          </w:tcPr>
          <w:p>
            <w:pPr>
              <w:spacing w:after="20" w:before="20"/>
              <w:jc w:val="center"/>
            </w:pPr>
            <w:r/>
            <w:r>
              <w:rPr>
                <w:rFonts w:ascii="Calibri" w:hAnsi="Calibri"/>
                <w:b w:val="0"/>
                <w:i w:val="0"/>
                <w:color w:val="1A1420"/>
                <w:sz w:val="18"/>
              </w:rPr>
              <w:t>5</w:t>
            </w:r>
          </w:p>
        </w:tc>
        <w:tc>
          <w:tcPr>
            <w:tcW w:type="dxa" w:w="1350"/>
            <w:shd w:val="clear" w:color="auto" w:fill="F4F0FA"/>
          </w:tcPr>
          <w:p>
            <w:pPr>
              <w:spacing w:after="20" w:before="20"/>
              <w:jc w:val="center"/>
            </w:pPr>
            <w:r/>
            <w:r>
              <w:rPr>
                <w:rFonts w:ascii="Calibri" w:hAnsi="Calibri"/>
                <w:b w:val="0"/>
                <w:i w:val="0"/>
                <w:color w:val="1A1420"/>
                <w:sz w:val="18"/>
              </w:rPr>
              <w:t>10</w:t>
            </w:r>
          </w:p>
        </w:tc>
        <w:tc>
          <w:tcPr>
            <w:tcW w:type="dxa" w:w="1500"/>
            <w:shd w:val="clear" w:color="auto" w:fill="F4F0FA"/>
          </w:tcPr>
          <w:p>
            <w:pPr>
              <w:spacing w:after="20" w:before="20"/>
              <w:jc w:val="center"/>
            </w:pPr>
            <w:r/>
            <w:r>
              <w:rPr>
                <w:rFonts w:ascii="Calibri" w:hAnsi="Calibri"/>
                <w:b w:val="0"/>
                <w:i w:val="0"/>
                <w:color w:val="1A1420"/>
                <w:sz w:val="18"/>
              </w:rPr>
              <w:t>9</w:t>
            </w:r>
          </w:p>
        </w:tc>
        <w:tc>
          <w:tcPr>
            <w:tcW w:type="dxa" w:w="1280"/>
            <w:shd w:val="clear" w:color="auto" w:fill="F4F0FA"/>
          </w:tcPr>
          <w:p>
            <w:pPr>
              <w:spacing w:after="20" w:before="20"/>
              <w:jc w:val="center"/>
            </w:pPr>
            <w:r/>
            <w:r>
              <w:rPr>
                <w:rFonts w:ascii="Calibri" w:hAnsi="Calibri"/>
                <w:b w:val="0"/>
                <w:i w:val="0"/>
                <w:color w:val="1A1420"/>
                <w:sz w:val="18"/>
              </w:rPr>
              <w:t>90 %</w:t>
            </w:r>
          </w:p>
        </w:tc>
        <w:tc>
          <w:tcPr>
            <w:tcW w:type="dxa" w:w="1280"/>
            <w:shd w:val="clear" w:color="auto" w:fill="F4F0FA"/>
          </w:tcPr>
          <w:p>
            <w:pPr>
              <w:spacing w:after="20" w:before="20"/>
              <w:jc w:val="center"/>
            </w:pPr>
            <w:r/>
            <w:r>
              <w:rPr>
                <w:rFonts w:ascii="Calibri" w:hAnsi="Calibri"/>
                <w:b w:val="0"/>
                <w:i w:val="0"/>
                <w:color w:val="1A1420"/>
                <w:sz w:val="18"/>
              </w:rPr>
              <w:t>OK</w:t>
            </w:r>
          </w:p>
        </w:tc>
      </w:tr>
      <w:tr>
        <w:tc>
          <w:tcPr>
            <w:tcW w:type="dxa" w:w="2600"/>
            <w:shd w:val="clear" w:color="auto" w:fill="F4F0FA"/>
          </w:tcPr>
          <w:p>
            <w:pPr>
              <w:spacing w:after="20" w:before="20"/>
              <w:jc w:val="left"/>
            </w:pPr>
            <w:r/>
            <w:r>
              <w:rPr>
                <w:rFonts w:ascii="Calibri" w:hAnsi="Calibri"/>
                <w:b/>
                <w:i w:val="0"/>
                <w:color w:val="1A1420"/>
                <w:sz w:val="18"/>
              </w:rPr>
              <w:t>Consultar</w:t>
            </w:r>
          </w:p>
        </w:tc>
        <w:tc>
          <w:tcPr>
            <w:tcW w:type="dxa" w:w="1350"/>
            <w:shd w:val="clear" w:color="auto" w:fill="F4F0FA"/>
          </w:tcPr>
          <w:p>
            <w:pPr>
              <w:spacing w:after="20" w:before="20"/>
              <w:jc w:val="center"/>
            </w:pPr>
            <w:r/>
            <w:r>
              <w:rPr>
                <w:rFonts w:ascii="Calibri" w:hAnsi="Calibri"/>
                <w:b w:val="0"/>
                <w:i w:val="0"/>
                <w:color w:val="1A1420"/>
                <w:sz w:val="18"/>
              </w:rPr>
              <w:t>1</w:t>
            </w:r>
          </w:p>
        </w:tc>
        <w:tc>
          <w:tcPr>
            <w:tcW w:type="dxa" w:w="1350"/>
            <w:shd w:val="clear" w:color="auto" w:fill="F4F0FA"/>
          </w:tcPr>
          <w:p>
            <w:pPr>
              <w:spacing w:after="20" w:before="20"/>
              <w:jc w:val="center"/>
            </w:pPr>
            <w:r/>
            <w:r>
              <w:rPr>
                <w:rFonts w:ascii="Calibri" w:hAnsi="Calibri"/>
                <w:b w:val="0"/>
                <w:i w:val="0"/>
                <w:color w:val="1A1420"/>
                <w:sz w:val="18"/>
              </w:rPr>
              <w:t>2</w:t>
            </w:r>
          </w:p>
        </w:tc>
        <w:tc>
          <w:tcPr>
            <w:tcW w:type="dxa" w:w="1500"/>
            <w:shd w:val="clear" w:color="auto" w:fill="F4F0FA"/>
          </w:tcPr>
          <w:p>
            <w:pPr>
              <w:spacing w:after="20" w:before="20"/>
              <w:jc w:val="center"/>
            </w:pPr>
            <w:r/>
            <w:r>
              <w:rPr>
                <w:rFonts w:ascii="Calibri" w:hAnsi="Calibri"/>
                <w:b w:val="0"/>
                <w:i w:val="0"/>
                <w:color w:val="1A1420"/>
                <w:sz w:val="18"/>
              </w:rPr>
              <w:t>2</w:t>
            </w:r>
          </w:p>
        </w:tc>
        <w:tc>
          <w:tcPr>
            <w:tcW w:type="dxa" w:w="1280"/>
            <w:shd w:val="clear" w:color="auto" w:fill="F4F0FA"/>
          </w:tcPr>
          <w:p>
            <w:pPr>
              <w:spacing w:after="20" w:before="20"/>
              <w:jc w:val="center"/>
            </w:pPr>
            <w:r/>
            <w:r>
              <w:rPr>
                <w:rFonts w:ascii="Calibri" w:hAnsi="Calibri"/>
                <w:b w:val="0"/>
                <w:i w:val="0"/>
                <w:color w:val="1A1420"/>
                <w:sz w:val="18"/>
              </w:rPr>
              <w:t>100 %</w:t>
            </w:r>
          </w:p>
        </w:tc>
        <w:tc>
          <w:tcPr>
            <w:tcW w:type="dxa" w:w="1280"/>
            <w:shd w:val="clear" w:color="auto" w:fill="F4F0FA"/>
          </w:tcPr>
          <w:p>
            <w:pPr>
              <w:spacing w:after="20" w:before="20"/>
              <w:jc w:val="center"/>
            </w:pPr>
            <w:r/>
            <w:r>
              <w:rPr>
                <w:rFonts w:ascii="Calibri" w:hAnsi="Calibri"/>
                <w:b w:val="0"/>
                <w:i w:val="0"/>
                <w:color w:val="1A1420"/>
                <w:sz w:val="18"/>
              </w:rPr>
              <w:t>OK</w:t>
            </w:r>
          </w:p>
        </w:tc>
      </w:tr>
      <w:tr>
        <w:tc>
          <w:tcPr>
            <w:tcW w:type="dxa" w:w="2600"/>
            <w:shd w:val="clear" w:color="auto" w:fill="F4F0FA"/>
          </w:tcPr>
          <w:p>
            <w:pPr>
              <w:spacing w:after="20" w:before="20"/>
              <w:jc w:val="left"/>
            </w:pPr>
            <w:r/>
            <w:r>
              <w:rPr>
                <w:rFonts w:ascii="Calibri" w:hAnsi="Calibri"/>
                <w:b/>
                <w:i w:val="0"/>
                <w:color w:val="1A1420"/>
                <w:sz w:val="18"/>
              </w:rPr>
              <w:t>Actualizar</w:t>
            </w:r>
          </w:p>
        </w:tc>
        <w:tc>
          <w:tcPr>
            <w:tcW w:type="dxa" w:w="1350"/>
            <w:shd w:val="clear" w:color="auto" w:fill="F4F0FA"/>
          </w:tcPr>
          <w:p>
            <w:pPr>
              <w:spacing w:after="20" w:before="20"/>
              <w:jc w:val="center"/>
            </w:pPr>
            <w:r/>
            <w:r>
              <w:rPr>
                <w:rFonts w:ascii="Calibri" w:hAnsi="Calibri"/>
                <w:b w:val="0"/>
                <w:i w:val="0"/>
                <w:color w:val="1A1420"/>
                <w:sz w:val="18"/>
              </w:rPr>
              <w:t>10</w:t>
            </w:r>
          </w:p>
        </w:tc>
        <w:tc>
          <w:tcPr>
            <w:tcW w:type="dxa" w:w="1350"/>
            <w:shd w:val="clear" w:color="auto" w:fill="F4F0FA"/>
          </w:tcPr>
          <w:p>
            <w:pPr>
              <w:spacing w:after="20" w:before="20"/>
              <w:jc w:val="center"/>
            </w:pPr>
            <w:r/>
            <w:r>
              <w:rPr>
                <w:rFonts w:ascii="Calibri" w:hAnsi="Calibri"/>
                <w:b w:val="0"/>
                <w:i w:val="0"/>
                <w:color w:val="1A1420"/>
                <w:sz w:val="18"/>
              </w:rPr>
              <w:t>20</w:t>
            </w:r>
          </w:p>
        </w:tc>
        <w:tc>
          <w:tcPr>
            <w:tcW w:type="dxa" w:w="1500"/>
            <w:shd w:val="clear" w:color="auto" w:fill="F4F0FA"/>
          </w:tcPr>
          <w:p>
            <w:pPr>
              <w:spacing w:after="20" w:before="20"/>
              <w:jc w:val="center"/>
            </w:pPr>
            <w:r/>
            <w:r>
              <w:rPr>
                <w:rFonts w:ascii="Calibri" w:hAnsi="Calibri"/>
                <w:b w:val="0"/>
                <w:i w:val="0"/>
                <w:color w:val="1A1420"/>
                <w:sz w:val="18"/>
              </w:rPr>
              <w:t>17</w:t>
            </w:r>
          </w:p>
        </w:tc>
        <w:tc>
          <w:tcPr>
            <w:tcW w:type="dxa" w:w="1280"/>
            <w:shd w:val="clear" w:color="auto" w:fill="F4F0FA"/>
          </w:tcPr>
          <w:p>
            <w:pPr>
              <w:spacing w:after="20" w:before="20"/>
              <w:jc w:val="center"/>
            </w:pPr>
            <w:r/>
            <w:r>
              <w:rPr>
                <w:rFonts w:ascii="Calibri" w:hAnsi="Calibri"/>
                <w:b w:val="0"/>
                <w:i w:val="0"/>
                <w:color w:val="1A1420"/>
                <w:sz w:val="18"/>
              </w:rPr>
              <w:t>85 %</w:t>
            </w:r>
          </w:p>
        </w:tc>
        <w:tc>
          <w:tcPr>
            <w:tcW w:type="dxa" w:w="1280"/>
            <w:shd w:val="clear" w:color="auto" w:fill="F4F0FA"/>
          </w:tcPr>
          <w:p>
            <w:pPr>
              <w:spacing w:after="20" w:before="20"/>
              <w:jc w:val="center"/>
            </w:pPr>
            <w:r/>
            <w:r>
              <w:rPr>
                <w:rFonts w:ascii="Calibri" w:hAnsi="Calibri"/>
                <w:b w:val="0"/>
                <w:i w:val="0"/>
                <w:color w:val="1A1420"/>
                <w:sz w:val="18"/>
              </w:rPr>
              <w:t>OK</w:t>
            </w:r>
          </w:p>
        </w:tc>
      </w:tr>
      <w:tr>
        <w:tc>
          <w:tcPr>
            <w:tcW w:type="dxa" w:w="2600"/>
            <w:shd w:val="clear" w:color="auto" w:fill="F4F0FA"/>
          </w:tcPr>
          <w:p>
            <w:pPr>
              <w:spacing w:after="20" w:before="20"/>
              <w:jc w:val="left"/>
            </w:pPr>
            <w:r/>
            <w:r>
              <w:rPr>
                <w:rFonts w:ascii="Calibri" w:hAnsi="Calibri"/>
                <w:b/>
                <w:i w:val="0"/>
                <w:color w:val="1A1420"/>
                <w:sz w:val="18"/>
              </w:rPr>
              <w:t>Eliminar</w:t>
            </w:r>
          </w:p>
        </w:tc>
        <w:tc>
          <w:tcPr>
            <w:tcW w:type="dxa" w:w="1350"/>
            <w:shd w:val="clear" w:color="auto" w:fill="F4F0FA"/>
          </w:tcPr>
          <w:p>
            <w:pPr>
              <w:spacing w:after="20" w:before="20"/>
              <w:jc w:val="center"/>
            </w:pPr>
            <w:r/>
            <w:r>
              <w:rPr>
                <w:rFonts w:ascii="Calibri" w:hAnsi="Calibri"/>
                <w:b w:val="0"/>
                <w:i w:val="0"/>
                <w:color w:val="1A1420"/>
                <w:sz w:val="18"/>
              </w:rPr>
              <w:t>4</w:t>
            </w:r>
          </w:p>
        </w:tc>
        <w:tc>
          <w:tcPr>
            <w:tcW w:type="dxa" w:w="1350"/>
            <w:shd w:val="clear" w:color="auto" w:fill="F4F0FA"/>
          </w:tcPr>
          <w:p>
            <w:pPr>
              <w:spacing w:after="20" w:before="20"/>
              <w:jc w:val="center"/>
            </w:pPr>
            <w:r/>
            <w:r>
              <w:rPr>
                <w:rFonts w:ascii="Calibri" w:hAnsi="Calibri"/>
                <w:b w:val="0"/>
                <w:i w:val="0"/>
                <w:color w:val="1A1420"/>
                <w:sz w:val="18"/>
              </w:rPr>
              <w:t>8</w:t>
            </w:r>
          </w:p>
        </w:tc>
        <w:tc>
          <w:tcPr>
            <w:tcW w:type="dxa" w:w="1500"/>
            <w:shd w:val="clear" w:color="auto" w:fill="F4F0FA"/>
          </w:tcPr>
          <w:p>
            <w:pPr>
              <w:spacing w:after="20" w:before="20"/>
              <w:jc w:val="center"/>
            </w:pPr>
            <w:r/>
            <w:r>
              <w:rPr>
                <w:rFonts w:ascii="Calibri" w:hAnsi="Calibri"/>
                <w:b w:val="0"/>
                <w:i w:val="0"/>
                <w:color w:val="1A1420"/>
                <w:sz w:val="18"/>
              </w:rPr>
              <w:t>5</w:t>
            </w:r>
          </w:p>
        </w:tc>
        <w:tc>
          <w:tcPr>
            <w:tcW w:type="dxa" w:w="1280"/>
            <w:shd w:val="clear" w:color="auto" w:fill="FBF0DC"/>
          </w:tcPr>
          <w:p>
            <w:pPr>
              <w:spacing w:after="20" w:before="20"/>
              <w:jc w:val="center"/>
            </w:pPr>
            <w:r/>
            <w:r>
              <w:rPr>
                <w:rFonts w:ascii="Calibri" w:hAnsi="Calibri"/>
                <w:b w:val="0"/>
                <w:i w:val="0"/>
                <w:color w:val="1A1420"/>
                <w:sz w:val="18"/>
              </w:rPr>
              <w:t>63 %</w:t>
            </w:r>
          </w:p>
        </w:tc>
        <w:tc>
          <w:tcPr>
            <w:tcW w:type="dxa" w:w="1280"/>
            <w:shd w:val="clear" w:color="auto" w:fill="FBF0DC"/>
          </w:tcPr>
          <w:p>
            <w:pPr>
              <w:spacing w:after="20" w:before="20"/>
              <w:jc w:val="center"/>
            </w:pPr>
            <w:r/>
            <w:r>
              <w:rPr>
                <w:rFonts w:ascii="Calibri" w:hAnsi="Calibri"/>
                <w:b w:val="0"/>
                <w:i w:val="0"/>
                <w:color w:val="1A1420"/>
                <w:sz w:val="18"/>
              </w:rPr>
              <w:t>Ampliar pruebas</w:t>
            </w:r>
          </w:p>
        </w:tc>
      </w:tr>
      <w:tr>
        <w:tc>
          <w:tcPr>
            <w:tcW w:type="dxa" w:w="2600"/>
            <w:shd w:val="clear" w:color="auto" w:fill="F4F0FA"/>
          </w:tcPr>
          <w:p>
            <w:pPr>
              <w:spacing w:after="20" w:before="20"/>
              <w:jc w:val="left"/>
            </w:pPr>
            <w:r/>
            <w:r>
              <w:rPr>
                <w:rFonts w:ascii="Calibri" w:hAnsi="Calibri"/>
                <w:b/>
                <w:i w:val="0"/>
                <w:color w:val="1A1420"/>
                <w:sz w:val="18"/>
              </w:rPr>
              <w:t>Transferir</w:t>
            </w:r>
          </w:p>
        </w:tc>
        <w:tc>
          <w:tcPr>
            <w:tcW w:type="dxa" w:w="1350"/>
            <w:shd w:val="clear" w:color="auto" w:fill="F4F0FA"/>
          </w:tcPr>
          <w:p>
            <w:pPr>
              <w:spacing w:after="20" w:before="20"/>
              <w:jc w:val="center"/>
            </w:pPr>
            <w:r/>
            <w:r>
              <w:rPr>
                <w:rFonts w:ascii="Calibri" w:hAnsi="Calibri"/>
                <w:b w:val="0"/>
                <w:i w:val="0"/>
                <w:color w:val="1A1420"/>
                <w:sz w:val="18"/>
              </w:rPr>
              <w:t>9</w:t>
            </w:r>
          </w:p>
        </w:tc>
        <w:tc>
          <w:tcPr>
            <w:tcW w:type="dxa" w:w="1350"/>
            <w:shd w:val="clear" w:color="auto" w:fill="F4F0FA"/>
          </w:tcPr>
          <w:p>
            <w:pPr>
              <w:spacing w:after="20" w:before="20"/>
              <w:jc w:val="center"/>
            </w:pPr>
            <w:r/>
            <w:r>
              <w:rPr>
                <w:rFonts w:ascii="Calibri" w:hAnsi="Calibri"/>
                <w:b w:val="0"/>
                <w:i w:val="0"/>
                <w:color w:val="1A1420"/>
                <w:sz w:val="18"/>
              </w:rPr>
              <w:t>18</w:t>
            </w:r>
          </w:p>
        </w:tc>
        <w:tc>
          <w:tcPr>
            <w:tcW w:type="dxa" w:w="1500"/>
            <w:shd w:val="clear" w:color="auto" w:fill="F4F0FA"/>
          </w:tcPr>
          <w:p>
            <w:pPr>
              <w:spacing w:after="20" w:before="20"/>
              <w:jc w:val="center"/>
            </w:pPr>
            <w:r/>
            <w:r>
              <w:rPr>
                <w:rFonts w:ascii="Calibri" w:hAnsi="Calibri"/>
                <w:b w:val="0"/>
                <w:i w:val="0"/>
                <w:color w:val="1A1420"/>
                <w:sz w:val="18"/>
              </w:rPr>
              <w:t>15</w:t>
            </w:r>
          </w:p>
        </w:tc>
        <w:tc>
          <w:tcPr>
            <w:tcW w:type="dxa" w:w="1280"/>
            <w:shd w:val="clear" w:color="auto" w:fill="F4F0FA"/>
          </w:tcPr>
          <w:p>
            <w:pPr>
              <w:spacing w:after="20" w:before="20"/>
              <w:jc w:val="center"/>
            </w:pPr>
            <w:r/>
            <w:r>
              <w:rPr>
                <w:rFonts w:ascii="Calibri" w:hAnsi="Calibri"/>
                <w:b w:val="0"/>
                <w:i w:val="0"/>
                <w:color w:val="1A1420"/>
                <w:sz w:val="18"/>
              </w:rPr>
              <w:t>83 %</w:t>
            </w:r>
          </w:p>
        </w:tc>
        <w:tc>
          <w:tcPr>
            <w:tcW w:type="dxa" w:w="1280"/>
            <w:shd w:val="clear" w:color="auto" w:fill="F4F0FA"/>
          </w:tcPr>
          <w:p>
            <w:pPr>
              <w:spacing w:after="20" w:before="20"/>
              <w:jc w:val="center"/>
            </w:pPr>
            <w:r/>
            <w:r>
              <w:rPr>
                <w:rFonts w:ascii="Calibri" w:hAnsi="Calibri"/>
                <w:b w:val="0"/>
                <w:i w:val="0"/>
                <w:color w:val="1A1420"/>
                <w:sz w:val="18"/>
              </w:rPr>
              <w:t>OK</w:t>
            </w:r>
          </w:p>
        </w:tc>
      </w:tr>
    </w:tbl>
    <w:p>
      <w:pPr>
        <w:spacing w:after="40"/>
      </w:pPr>
    </w:p>
    <w:p>
      <w:pPr>
        <w:spacing w:after="120"/>
        <w:jc w:val="both"/>
      </w:pPr>
      <w:r>
        <w:rPr>
          <w:b w:val="0"/>
          <w:i w:val="0"/>
          <w:color w:val="1A1420"/>
          <w:sz w:val="21"/>
        </w:rPr>
        <w:t>Interpretación: solo Eliminar cae por debajo del umbral del 80 % (diap. 68 → “ampliar pruebas”). El motivo concreto: de sus 4 decisiones, la rama “cuenta bloqueada” y la rama “cuenta inexistente” no se prueban (ninguna prueba bloquea la cuenta ni borra un bolsillo huérfano), y la rama “sin notificaciones” tampoco. Para subir esta cobertura bastaría añadir un caso que intente eliminar con la cuenta en estado BLOQUEADA.</w:t>
      </w:r>
    </w:p>
    <w:p>
      <w:pPr>
        <w:pStyle w:val="Heading2"/>
      </w:pPr>
      <w:r>
        <w:t>3.3 Número de errores (defectos detectados)</w:t>
      </w:r>
    </w:p>
    <w:p>
      <w:pPr>
        <w:spacing w:after="120"/>
        <w:jc w:val="left"/>
      </w:pPr>
      <w:r>
        <w:rPr>
          <w:b w:val="0"/>
          <w:i w:val="0"/>
          <w:color w:val="1A1420"/>
          <w:sz w:val="21"/>
        </w:rPr>
        <w:t>Definición (Clase 09, diap. 14-16): cantidad de defectos presentes, detectados por las pruebas. Es la métrica de efectividad de la suite: las pruebas sirven porque revelaron defectos reales.</w:t>
      </w:r>
    </w:p>
    <w:p>
      <w:pPr>
        <w:spacing w:after="120"/>
        <w:jc w:val="left"/>
      </w:pPr>
      <w:r>
        <w:rPr>
          <w:b w:val="0"/>
          <w:i w:val="0"/>
          <w:color w:val="1A1420"/>
          <w:sz w:val="21"/>
        </w:rPr>
        <w:t>De dónde salen: cada caso que documenta un defecto lleva un campo “defecto” con su identificador. Al ejecutarse, ese caso falla a propósito porque el código no cumple la regla esperada. Se hallaron 5 defectos, todos en backend (4 en Crear, 1 en Actualizar). El frontend no reveló defectos.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700"/>
            <w:shd w:val="clear" w:color="auto" w:fill="820AD1"/>
          </w:tcPr>
          <w:p>
            <w:pPr>
              <w:spacing w:after="20" w:before="20"/>
              <w:jc w:val="center"/>
            </w:pPr>
            <w:r/>
            <w:r>
              <w:rPr>
                <w:rFonts w:ascii="Calibri" w:hAnsi="Calibri"/>
                <w:b/>
                <w:i w:val="0"/>
                <w:color w:val="FFFFFF"/>
                <w:sz w:val="18"/>
              </w:rPr>
              <w:t>ID</w:t>
            </w:r>
          </w:p>
        </w:tc>
        <w:tc>
          <w:tcPr>
            <w:tcW w:type="dxa" w:w="900"/>
            <w:shd w:val="clear" w:color="auto" w:fill="820AD1"/>
          </w:tcPr>
          <w:p>
            <w:pPr>
              <w:spacing w:after="20" w:before="20"/>
              <w:jc w:val="center"/>
            </w:pPr>
            <w:r/>
            <w:r>
              <w:rPr>
                <w:rFonts w:ascii="Calibri" w:hAnsi="Calibri"/>
                <w:b/>
                <w:i w:val="0"/>
                <w:color w:val="FFFFFF"/>
                <w:sz w:val="18"/>
              </w:rPr>
              <w:t>Caso</w:t>
            </w:r>
          </w:p>
        </w:tc>
        <w:tc>
          <w:tcPr>
            <w:tcW w:type="dxa" w:w="1300"/>
            <w:shd w:val="clear" w:color="auto" w:fill="820AD1"/>
          </w:tcPr>
          <w:p>
            <w:pPr>
              <w:spacing w:after="20" w:before="20"/>
              <w:jc w:val="center"/>
            </w:pPr>
            <w:r/>
            <w:r>
              <w:rPr>
                <w:rFonts w:ascii="Calibri" w:hAnsi="Calibri"/>
                <w:b/>
                <w:i w:val="0"/>
                <w:color w:val="FFFFFF"/>
                <w:sz w:val="18"/>
              </w:rPr>
              <w:t>Funcionalidad</w:t>
            </w:r>
          </w:p>
        </w:tc>
        <w:tc>
          <w:tcPr>
            <w:tcW w:type="dxa" w:w="1500"/>
            <w:shd w:val="clear" w:color="auto" w:fill="820AD1"/>
          </w:tcPr>
          <w:p>
            <w:pPr>
              <w:spacing w:after="20" w:before="20"/>
              <w:jc w:val="center"/>
            </w:pPr>
            <w:r/>
            <w:r>
              <w:rPr>
                <w:rFonts w:ascii="Calibri" w:hAnsi="Calibri"/>
                <w:b/>
                <w:i w:val="0"/>
                <w:color w:val="FFFFFF"/>
                <w:sz w:val="18"/>
              </w:rPr>
              <w:t>Ubicación</w:t>
            </w:r>
          </w:p>
        </w:tc>
        <w:tc>
          <w:tcPr>
            <w:tcW w:type="dxa" w:w="4960"/>
            <w:shd w:val="clear" w:color="auto" w:fill="820AD1"/>
          </w:tcPr>
          <w:p>
            <w:pPr>
              <w:spacing w:after="20" w:before="20"/>
              <w:jc w:val="center"/>
            </w:pPr>
            <w:r/>
            <w:r>
              <w:rPr>
                <w:rFonts w:ascii="Calibri" w:hAnsi="Calibri"/>
                <w:b/>
                <w:i w:val="0"/>
                <w:color w:val="FFFFFF"/>
                <w:sz w:val="18"/>
              </w:rPr>
              <w:t>Por qué es un defecto</w:t>
            </w:r>
          </w:p>
        </w:tc>
      </w:tr>
      <w:tr>
        <w:tc>
          <w:tcPr>
            <w:tcW w:type="dxa" w:w="700"/>
            <w:shd w:val="clear" w:color="auto" w:fill="FBE0E6"/>
          </w:tcPr>
          <w:p>
            <w:pPr>
              <w:spacing w:after="20" w:before="20"/>
              <w:jc w:val="center"/>
            </w:pPr>
            <w:r/>
            <w:r>
              <w:rPr>
                <w:rFonts w:ascii="Calibri" w:hAnsi="Calibri"/>
                <w:b/>
                <w:i w:val="0"/>
                <w:color w:val="1A1420"/>
                <w:sz w:val="17"/>
              </w:rPr>
              <w:t>D-01</w:t>
            </w:r>
          </w:p>
        </w:tc>
        <w:tc>
          <w:tcPr>
            <w:tcW w:type="dxa" w:w="900"/>
          </w:tcPr>
          <w:p>
            <w:pPr>
              <w:spacing w:after="20" w:before="20"/>
              <w:jc w:val="center"/>
            </w:pPr>
            <w:r/>
            <w:r>
              <w:rPr>
                <w:rFonts w:ascii="Calibri" w:hAnsi="Calibri"/>
                <w:b w:val="0"/>
                <w:i w:val="0"/>
                <w:color w:val="1A1420"/>
                <w:sz w:val="17"/>
              </w:rPr>
              <w:t>PU-06</w:t>
            </w:r>
          </w:p>
        </w:tc>
        <w:tc>
          <w:tcPr>
            <w:tcW w:type="dxa" w:w="1300"/>
          </w:tcPr>
          <w:p>
            <w:pPr>
              <w:spacing w:after="20" w:before="20"/>
              <w:jc w:val="left"/>
            </w:pPr>
            <w:r/>
            <w:r>
              <w:rPr>
                <w:rFonts w:ascii="Calibri" w:hAnsi="Calibri"/>
                <w:b w:val="0"/>
                <w:i w:val="0"/>
                <w:color w:val="1A1420"/>
                <w:sz w:val="17"/>
              </w:rPr>
              <w:t>Crear</w:t>
            </w:r>
          </w:p>
        </w:tc>
        <w:tc>
          <w:tcPr>
            <w:tcW w:type="dxa" w:w="1500"/>
          </w:tcPr>
          <w:p>
            <w:pPr>
              <w:spacing w:after="20" w:before="20"/>
              <w:jc w:val="left"/>
            </w:pPr>
            <w:r/>
            <w:r>
              <w:rPr>
                <w:rFonts w:ascii="Calibri" w:hAnsi="Calibri"/>
                <w:b w:val="0"/>
                <w:i w:val="0"/>
                <w:color w:val="1A1420"/>
                <w:sz w:val="17"/>
              </w:rPr>
              <w:t>Entidad Pocket</w:t>
            </w:r>
          </w:p>
        </w:tc>
        <w:tc>
          <w:tcPr>
            <w:tcW w:type="dxa" w:w="4960"/>
          </w:tcPr>
          <w:p>
            <w:pPr>
              <w:spacing w:after="20" w:before="20"/>
              <w:jc w:val="left"/>
            </w:pPr>
            <w:r/>
            <w:r>
              <w:rPr>
                <w:rFonts w:ascii="Calibri" w:hAnsi="Calibri"/>
                <w:b w:val="0"/>
                <w:i w:val="0"/>
                <w:color w:val="1A1420"/>
                <w:sz w:val="17"/>
              </w:rPr>
              <w:t>El constructor no valida el nombre; Pocket.create({name:''}) no lanza, aunque updateName('') sí lo rechaza. Regla aplicada de forma inconsistente.</w:t>
            </w:r>
          </w:p>
        </w:tc>
      </w:tr>
      <w:tr>
        <w:tc>
          <w:tcPr>
            <w:tcW w:type="dxa" w:w="700"/>
          </w:tcPr>
          <w:p>
            <w:pPr>
              <w:spacing w:after="20" w:before="20"/>
              <w:jc w:val="center"/>
            </w:pPr>
            <w:r/>
            <w:r>
              <w:rPr>
                <w:rFonts w:ascii="Calibri" w:hAnsi="Calibri"/>
                <w:b/>
                <w:i w:val="0"/>
                <w:color w:val="1A1420"/>
                <w:sz w:val="17"/>
              </w:rPr>
              <w:t>D-02</w:t>
            </w:r>
          </w:p>
        </w:tc>
        <w:tc>
          <w:tcPr>
            <w:tcW w:type="dxa" w:w="900"/>
          </w:tcPr>
          <w:p>
            <w:pPr>
              <w:spacing w:after="20" w:before="20"/>
              <w:jc w:val="center"/>
            </w:pPr>
            <w:r/>
            <w:r>
              <w:rPr>
                <w:rFonts w:ascii="Calibri" w:hAnsi="Calibri"/>
                <w:b w:val="0"/>
                <w:i w:val="0"/>
                <w:color w:val="1A1420"/>
                <w:sz w:val="17"/>
              </w:rPr>
              <w:t>VU-03</w:t>
            </w:r>
          </w:p>
        </w:tc>
        <w:tc>
          <w:tcPr>
            <w:tcW w:type="dxa" w:w="1300"/>
          </w:tcPr>
          <w:p>
            <w:pPr>
              <w:spacing w:after="20" w:before="20"/>
              <w:jc w:val="left"/>
            </w:pPr>
            <w:r/>
            <w:r>
              <w:rPr>
                <w:rFonts w:ascii="Calibri" w:hAnsi="Calibri"/>
                <w:b w:val="0"/>
                <w:i w:val="0"/>
                <w:color w:val="1A1420"/>
                <w:sz w:val="17"/>
              </w:rPr>
              <w:t>Crear</w:t>
            </w:r>
          </w:p>
        </w:tc>
        <w:tc>
          <w:tcPr>
            <w:tcW w:type="dxa" w:w="1500"/>
          </w:tcPr>
          <w:p>
            <w:pPr>
              <w:spacing w:after="20" w:before="20"/>
              <w:jc w:val="left"/>
            </w:pPr>
            <w:r/>
            <w:r>
              <w:rPr>
                <w:rFonts w:ascii="Calibri" w:hAnsi="Calibri"/>
                <w:b w:val="0"/>
                <w:i w:val="0"/>
                <w:color w:val="1A1420"/>
                <w:sz w:val="17"/>
              </w:rPr>
              <w:t>Validador (Zod)</w:t>
            </w:r>
          </w:p>
        </w:tc>
        <w:tc>
          <w:tcPr>
            <w:tcW w:type="dxa" w:w="4960"/>
          </w:tcPr>
          <w:p>
            <w:pPr>
              <w:spacing w:after="20" w:before="20"/>
              <w:jc w:val="left"/>
            </w:pPr>
            <w:r/>
            <w:r>
              <w:rPr>
                <w:rFonts w:ascii="Calibri" w:hAnsi="Calibri"/>
                <w:b w:val="0"/>
                <w:i w:val="0"/>
                <w:color w:val="1A1420"/>
                <w:sz w:val="17"/>
              </w:rPr>
              <w:t>createPocketSchema usa z.coerce.number(): el booleano true se convierte en 1 y se acepta como monto. Un booleano no es una cantidad de dinero.</w:t>
            </w:r>
          </w:p>
        </w:tc>
      </w:tr>
      <w:tr>
        <w:tc>
          <w:tcPr>
            <w:tcW w:type="dxa" w:w="700"/>
          </w:tcPr>
          <w:p>
            <w:pPr>
              <w:spacing w:after="20" w:before="20"/>
              <w:jc w:val="center"/>
            </w:pPr>
            <w:r/>
            <w:r>
              <w:rPr>
                <w:rFonts w:ascii="Calibri" w:hAnsi="Calibri"/>
                <w:b/>
                <w:i w:val="0"/>
                <w:color w:val="1A1420"/>
                <w:sz w:val="17"/>
              </w:rPr>
              <w:t>D-03</w:t>
            </w:r>
          </w:p>
        </w:tc>
        <w:tc>
          <w:tcPr>
            <w:tcW w:type="dxa" w:w="900"/>
          </w:tcPr>
          <w:p>
            <w:pPr>
              <w:spacing w:after="20" w:before="20"/>
              <w:jc w:val="center"/>
            </w:pPr>
            <w:r/>
            <w:r>
              <w:rPr>
                <w:rFonts w:ascii="Calibri" w:hAnsi="Calibri"/>
                <w:b w:val="0"/>
                <w:i w:val="0"/>
                <w:color w:val="1A1420"/>
                <w:sz w:val="17"/>
              </w:rPr>
              <w:t>VU-07</w:t>
            </w:r>
          </w:p>
        </w:tc>
        <w:tc>
          <w:tcPr>
            <w:tcW w:type="dxa" w:w="1300"/>
          </w:tcPr>
          <w:p>
            <w:pPr>
              <w:spacing w:after="20" w:before="20"/>
              <w:jc w:val="left"/>
            </w:pPr>
            <w:r/>
            <w:r>
              <w:rPr>
                <w:rFonts w:ascii="Calibri" w:hAnsi="Calibri"/>
                <w:b w:val="0"/>
                <w:i w:val="0"/>
                <w:color w:val="1A1420"/>
                <w:sz w:val="17"/>
              </w:rPr>
              <w:t>Crear</w:t>
            </w:r>
          </w:p>
        </w:tc>
        <w:tc>
          <w:tcPr>
            <w:tcW w:type="dxa" w:w="1500"/>
          </w:tcPr>
          <w:p>
            <w:pPr>
              <w:spacing w:after="20" w:before="20"/>
              <w:jc w:val="left"/>
            </w:pPr>
            <w:r/>
            <w:r>
              <w:rPr>
                <w:rFonts w:ascii="Calibri" w:hAnsi="Calibri"/>
                <w:b w:val="0"/>
                <w:i w:val="0"/>
                <w:color w:val="1A1420"/>
                <w:sz w:val="17"/>
              </w:rPr>
              <w:t>Validador (Zod)</w:t>
            </w:r>
          </w:p>
        </w:tc>
        <w:tc>
          <w:tcPr>
            <w:tcW w:type="dxa" w:w="4960"/>
          </w:tcPr>
          <w:p>
            <w:pPr>
              <w:spacing w:after="20" w:before="20"/>
              <w:jc w:val="left"/>
            </w:pPr>
            <w:r/>
            <w:r>
              <w:rPr>
                <w:rFonts w:ascii="Calibri" w:hAnsi="Calibri"/>
                <w:b w:val="0"/>
                <w:i w:val="0"/>
                <w:color w:val="1A1420"/>
                <w:sz w:val="17"/>
              </w:rPr>
              <w:t>El nombre usa z.string().min(1): '   ' (tres espacios) tiene longitud 3 y pasa la validación, aunque está vacío en la práctica.</w:t>
            </w:r>
          </w:p>
        </w:tc>
      </w:tr>
      <w:tr>
        <w:tc>
          <w:tcPr>
            <w:tcW w:type="dxa" w:w="700"/>
          </w:tcPr>
          <w:p>
            <w:pPr>
              <w:spacing w:after="20" w:before="20"/>
              <w:jc w:val="center"/>
            </w:pPr>
            <w:r/>
            <w:r>
              <w:rPr>
                <w:rFonts w:ascii="Calibri" w:hAnsi="Calibri"/>
                <w:b/>
                <w:i w:val="0"/>
                <w:color w:val="1A1420"/>
                <w:sz w:val="17"/>
              </w:rPr>
              <w:t>D-04</w:t>
            </w:r>
          </w:p>
        </w:tc>
        <w:tc>
          <w:tcPr>
            <w:tcW w:type="dxa" w:w="900"/>
          </w:tcPr>
          <w:p>
            <w:pPr>
              <w:spacing w:after="20" w:before="20"/>
              <w:jc w:val="center"/>
            </w:pPr>
            <w:r/>
            <w:r>
              <w:rPr>
                <w:rFonts w:ascii="Calibri" w:hAnsi="Calibri"/>
                <w:b w:val="0"/>
                <w:i w:val="0"/>
                <w:color w:val="1A1420"/>
                <w:sz w:val="17"/>
              </w:rPr>
              <w:t>VU-11</w:t>
            </w:r>
          </w:p>
        </w:tc>
        <w:tc>
          <w:tcPr>
            <w:tcW w:type="dxa" w:w="1300"/>
          </w:tcPr>
          <w:p>
            <w:pPr>
              <w:spacing w:after="20" w:before="20"/>
              <w:jc w:val="left"/>
            </w:pPr>
            <w:r/>
            <w:r>
              <w:rPr>
                <w:rFonts w:ascii="Calibri" w:hAnsi="Calibri"/>
                <w:b w:val="0"/>
                <w:i w:val="0"/>
                <w:color w:val="1A1420"/>
                <w:sz w:val="17"/>
              </w:rPr>
              <w:t>Actualizar</w:t>
            </w:r>
          </w:p>
        </w:tc>
        <w:tc>
          <w:tcPr>
            <w:tcW w:type="dxa" w:w="1500"/>
          </w:tcPr>
          <w:p>
            <w:pPr>
              <w:spacing w:after="20" w:before="20"/>
              <w:jc w:val="left"/>
            </w:pPr>
            <w:r/>
            <w:r>
              <w:rPr>
                <w:rFonts w:ascii="Calibri" w:hAnsi="Calibri"/>
                <w:b w:val="0"/>
                <w:i w:val="0"/>
                <w:color w:val="1A1420"/>
                <w:sz w:val="17"/>
              </w:rPr>
              <w:t>Validador (Zod)</w:t>
            </w:r>
          </w:p>
        </w:tc>
        <w:tc>
          <w:tcPr>
            <w:tcW w:type="dxa" w:w="4960"/>
          </w:tcPr>
          <w:p>
            <w:pPr>
              <w:spacing w:after="20" w:before="20"/>
              <w:jc w:val="left"/>
            </w:pPr>
            <w:r/>
            <w:r>
              <w:rPr>
                <w:rFonts w:ascii="Calibri" w:hAnsi="Calibri"/>
                <w:b w:val="0"/>
                <w:i w:val="0"/>
                <w:color w:val="1A1420"/>
                <w:sz w:val="17"/>
              </w:rPr>
              <w:t>updatePocketSchema usa z.number() sin coerce: rechaza '500' (string) mientras que crear sí lo coacciona. Contrato inconsistente entre crear y actualizar.</w:t>
            </w:r>
          </w:p>
        </w:tc>
      </w:tr>
      <w:tr>
        <w:tc>
          <w:tcPr>
            <w:tcW w:type="dxa" w:w="700"/>
          </w:tcPr>
          <w:p>
            <w:pPr>
              <w:spacing w:after="20" w:before="20"/>
              <w:jc w:val="center"/>
            </w:pPr>
            <w:r/>
            <w:r>
              <w:rPr>
                <w:rFonts w:ascii="Calibri" w:hAnsi="Calibri"/>
                <w:b/>
                <w:i w:val="0"/>
                <w:color w:val="1A1420"/>
                <w:sz w:val="17"/>
              </w:rPr>
              <w:t>D-05</w:t>
            </w:r>
          </w:p>
        </w:tc>
        <w:tc>
          <w:tcPr>
            <w:tcW w:type="dxa" w:w="900"/>
          </w:tcPr>
          <w:p>
            <w:pPr>
              <w:spacing w:after="20" w:before="20"/>
              <w:jc w:val="center"/>
            </w:pPr>
            <w:r/>
            <w:r>
              <w:rPr>
                <w:rFonts w:ascii="Calibri" w:hAnsi="Calibri"/>
                <w:b w:val="0"/>
                <w:i w:val="0"/>
                <w:color w:val="1A1420"/>
                <w:sz w:val="17"/>
              </w:rPr>
              <w:t>CU-CR-09</w:t>
            </w:r>
          </w:p>
        </w:tc>
        <w:tc>
          <w:tcPr>
            <w:tcW w:type="dxa" w:w="1300"/>
          </w:tcPr>
          <w:p>
            <w:pPr>
              <w:spacing w:after="20" w:before="20"/>
              <w:jc w:val="left"/>
            </w:pPr>
            <w:r/>
            <w:r>
              <w:rPr>
                <w:rFonts w:ascii="Calibri" w:hAnsi="Calibri"/>
                <w:b w:val="0"/>
                <w:i w:val="0"/>
                <w:color w:val="1A1420"/>
                <w:sz w:val="17"/>
              </w:rPr>
              <w:t>Crear</w:t>
            </w:r>
          </w:p>
        </w:tc>
        <w:tc>
          <w:tcPr>
            <w:tcW w:type="dxa" w:w="1500"/>
          </w:tcPr>
          <w:p>
            <w:pPr>
              <w:spacing w:after="20" w:before="20"/>
              <w:jc w:val="left"/>
            </w:pPr>
            <w:r/>
            <w:r>
              <w:rPr>
                <w:rFonts w:ascii="Calibri" w:hAnsi="Calibri"/>
                <w:b w:val="0"/>
                <w:i w:val="0"/>
                <w:color w:val="1A1420"/>
                <w:sz w:val="17"/>
              </w:rPr>
              <w:t>Caso de uso</w:t>
            </w:r>
          </w:p>
        </w:tc>
        <w:tc>
          <w:tcPr>
            <w:tcW w:type="dxa" w:w="4960"/>
          </w:tcPr>
          <w:p>
            <w:pPr>
              <w:spacing w:after="20" w:before="20"/>
              <w:jc w:val="left"/>
            </w:pPr>
            <w:r/>
            <w:r>
              <w:rPr>
                <w:rFonts w:ascii="Calibri" w:hAnsi="Calibri"/>
                <w:b w:val="0"/>
                <w:i w:val="0"/>
                <w:color w:val="1A1420"/>
                <w:sz w:val="17"/>
              </w:rPr>
              <w:t>Al validar el saldo disponible se vuelve a sumar lo ya reservado (doble conteo) y se rechazan creaciones válidas: 400.000 cabe en 500.000 disponibles pero el código lo niega.</w:t>
            </w:r>
          </w:p>
        </w:tc>
      </w:tr>
    </w:tbl>
    <w:p>
      <w:pPr>
        <w:spacing w:after="40"/>
      </w:pPr>
    </w:p>
    <w:p>
      <w:pPr>
        <w:pStyle w:val="Heading2"/>
      </w:pPr>
      <w:r>
        <w:t>3.4 Eficacia de eliminación de defectos (EED)</w:t>
      </w:r>
    </w:p>
    <w:p>
      <w:pPr>
        <w:spacing w:after="120"/>
        <w:jc w:val="left"/>
      </w:pPr>
      <w:r>
        <w:rPr>
          <w:b w:val="0"/>
          <w:i w:val="0"/>
          <w:color w:val="1A1420"/>
          <w:sz w:val="21"/>
        </w:rPr>
        <w:t>Definición (Clase 09, diap. 13): mide la eficacia entre los errores encontrados durante el desarrollo y los encontrados por los usuarios tras la entrega.</w:t>
      </w:r>
    </w:p>
    <w:p>
      <w:pPr>
        <w:spacing w:before="40" w:after="120"/>
        <w:ind w:left="360"/>
      </w:pPr>
      <w:r>
        <w:rPr>
          <w:rFonts w:ascii="Consolas" w:hAnsi="Consolas"/>
          <w:b/>
          <w:color w:val="5E0A99"/>
          <w:sz w:val="21"/>
        </w:rPr>
        <w:t xml:space="preserve">  EED = E / (E + D)     E = errores antes de la entrega,  D = errores después de la entrega  </w:t>
      </w:r>
    </w:p>
    <w:p>
      <w:pPr>
        <w:spacing w:after="120"/>
        <w:jc w:val="left"/>
      </w:pPr>
      <w:r>
        <w:rPr>
          <w:b w:val="0"/>
          <w:i w:val="0"/>
          <w:color w:val="1A1420"/>
          <w:sz w:val="21"/>
        </w:rPr>
        <w:t>De dónde salen: E = 5 (los defectos de la sección 3.3, hallados en pruebas). D = 0 por el supuesto acordado: el módulo no está en producción, así que no hay defectos reportados por usuarios.</w:t>
      </w:r>
    </w:p>
    <w:p>
      <w:pPr>
        <w:spacing w:before="40" w:after="120"/>
        <w:ind w:left="360"/>
      </w:pPr>
      <w:r>
        <w:rPr>
          <w:rFonts w:ascii="Consolas" w:hAnsi="Consolas"/>
          <w:b/>
          <w:color w:val="5E0A99"/>
          <w:sz w:val="21"/>
        </w:rPr>
        <w:t xml:space="preserve">  EED = 5 / (5 + 0) = 1,00 = 100 %  </w:t>
      </w:r>
    </w:p>
    <w:p>
      <w:pPr>
        <w:spacing w:after="120"/>
        <w:jc w:val="both"/>
      </w:pPr>
      <w:r>
        <w:rPr>
          <w:b w:val="0"/>
          <w:i w:val="0"/>
          <w:color w:val="1A1420"/>
          <w:sz w:val="21"/>
        </w:rPr>
        <w:t>Interpretación: un EED cercano a 1 es lo deseable — significa que los defectos se atrapan antes de llegar al usuario. Aquí el 100 % es correcto pero trivial, porque D = 0 por ausencia de despliegue. La lectura honesta es: “de los defectos hoy conocidos, todos se detectaron antes de la entrega”. Cuando el módulo salga a producción, este indicador deberá recalcularse con los defectos reales que reporten los usuarios.</w:t>
      </w:r>
    </w:p>
    <w:p>
      <w:pPr>
        <w:pStyle w:val="Heading2"/>
      </w:pPr>
      <w:r>
        <w:t>3.5 Resumen de la categoría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400"/>
            <w:shd w:val="clear" w:color="auto" w:fill="820AD1"/>
          </w:tcPr>
          <w:p>
            <w:pPr>
              <w:spacing w:after="20" w:before="20"/>
              <w:jc w:val="center"/>
            </w:pPr>
            <w:r/>
            <w:r>
              <w:rPr>
                <w:rFonts w:ascii="Calibri" w:hAnsi="Calibri"/>
                <w:b/>
                <w:i w:val="0"/>
                <w:color w:val="FFFFFF"/>
                <w:sz w:val="18"/>
              </w:rPr>
              <w:t>Métrica</w:t>
            </w:r>
          </w:p>
        </w:tc>
        <w:tc>
          <w:tcPr>
            <w:tcW w:type="dxa" w:w="1900"/>
            <w:shd w:val="clear" w:color="auto" w:fill="820AD1"/>
          </w:tcPr>
          <w:p>
            <w:pPr>
              <w:spacing w:after="20" w:before="20"/>
              <w:jc w:val="center"/>
            </w:pPr>
            <w:r/>
            <w:r>
              <w:rPr>
                <w:rFonts w:ascii="Calibri" w:hAnsi="Calibri"/>
                <w:b/>
                <w:i w:val="0"/>
                <w:color w:val="FFFFFF"/>
                <w:sz w:val="18"/>
              </w:rPr>
              <w:t>Fórmula</w:t>
            </w:r>
          </w:p>
        </w:tc>
        <w:tc>
          <w:tcPr>
            <w:tcW w:type="dxa" w:w="2560"/>
            <w:shd w:val="clear" w:color="auto" w:fill="820AD1"/>
          </w:tcPr>
          <w:p>
            <w:pPr>
              <w:spacing w:after="20" w:before="20"/>
              <w:jc w:val="center"/>
            </w:pPr>
            <w:r/>
            <w:r>
              <w:rPr>
                <w:rFonts w:ascii="Calibri" w:hAnsi="Calibri"/>
                <w:b/>
                <w:i w:val="0"/>
                <w:color w:val="FFFFFF"/>
                <w:sz w:val="18"/>
              </w:rPr>
              <w:t>Resultado</w:t>
            </w:r>
          </w:p>
        </w:tc>
        <w:tc>
          <w:tcPr>
            <w:tcW w:type="dxa" w:w="2500"/>
            <w:shd w:val="clear" w:color="auto" w:fill="820AD1"/>
          </w:tcPr>
          <w:p>
            <w:pPr>
              <w:spacing w:after="20" w:before="20"/>
              <w:jc w:val="center"/>
            </w:pPr>
            <w:r/>
            <w:r>
              <w:rPr>
                <w:rFonts w:ascii="Calibri" w:hAnsi="Calibri"/>
                <w:b/>
                <w:i w:val="0"/>
                <w:color w:val="FFFFFF"/>
                <w:sz w:val="18"/>
              </w:rPr>
              <w:t>Interpretación breve</w:t>
            </w:r>
          </w:p>
        </w:tc>
      </w:tr>
      <w:tr>
        <w:tc>
          <w:tcPr>
            <w:tcW w:type="dxa" w:w="2400"/>
          </w:tcPr>
          <w:p>
            <w:pPr>
              <w:spacing w:after="20" w:before="20"/>
              <w:jc w:val="left"/>
            </w:pPr>
            <w:r/>
            <w:r>
              <w:rPr>
                <w:rFonts w:ascii="Calibri" w:hAnsi="Calibri"/>
                <w:b/>
                <w:i w:val="0"/>
                <w:color w:val="1A1420"/>
                <w:sz w:val="18"/>
              </w:rPr>
              <w:t>Cobertura de requisitos</w:t>
            </w:r>
          </w:p>
        </w:tc>
        <w:tc>
          <w:tcPr>
            <w:tcW w:type="dxa" w:w="1900"/>
          </w:tcPr>
          <w:p>
            <w:pPr>
              <w:spacing w:after="20" w:before="20"/>
              <w:jc w:val="left"/>
            </w:pPr>
            <w:r/>
            <w:r>
              <w:rPr>
                <w:rFonts w:ascii="Calibri" w:hAnsi="Calibri"/>
                <w:b w:val="0"/>
                <w:i w:val="0"/>
                <w:color w:val="1A1420"/>
                <w:sz w:val="18"/>
              </w:rPr>
              <w:t>Cubiertos / total</w:t>
            </w:r>
          </w:p>
        </w:tc>
        <w:tc>
          <w:tcPr>
            <w:tcW w:type="dxa" w:w="2560"/>
          </w:tcPr>
          <w:p>
            <w:pPr>
              <w:spacing w:after="20" w:before="20"/>
              <w:jc w:val="center"/>
            </w:pPr>
            <w:r/>
            <w:r>
              <w:rPr>
                <w:rFonts w:ascii="Calibri" w:hAnsi="Calibri"/>
                <w:b w:val="0"/>
                <w:i w:val="0"/>
                <w:color w:val="1A1420"/>
                <w:sz w:val="18"/>
              </w:rPr>
              <w:t>100 %</w:t>
            </w:r>
          </w:p>
        </w:tc>
        <w:tc>
          <w:tcPr>
            <w:tcW w:type="dxa" w:w="2500"/>
          </w:tcPr>
          <w:p>
            <w:pPr>
              <w:spacing w:after="20" w:before="20"/>
              <w:jc w:val="left"/>
            </w:pPr>
            <w:r/>
            <w:r>
              <w:rPr>
                <w:rFonts w:ascii="Calibri" w:hAnsi="Calibri"/>
                <w:b w:val="0"/>
                <w:i w:val="0"/>
                <w:color w:val="1A1420"/>
                <w:sz w:val="18"/>
              </w:rPr>
              <w:t>Validación completa a nivel de funcionalidad</w:t>
            </w:r>
          </w:p>
        </w:tc>
      </w:tr>
      <w:tr>
        <w:tc>
          <w:tcPr>
            <w:tcW w:type="dxa" w:w="2400"/>
          </w:tcPr>
          <w:p>
            <w:pPr>
              <w:spacing w:after="20" w:before="20"/>
              <w:jc w:val="left"/>
            </w:pPr>
            <w:r/>
            <w:r>
              <w:rPr>
                <w:rFonts w:ascii="Calibri" w:hAnsi="Calibri"/>
                <w:b/>
                <w:i w:val="0"/>
                <w:color w:val="1A1420"/>
                <w:sz w:val="18"/>
              </w:rPr>
              <w:t>Cobertura de decisión (BE)</w:t>
            </w:r>
          </w:p>
        </w:tc>
        <w:tc>
          <w:tcPr>
            <w:tcW w:type="dxa" w:w="1900"/>
          </w:tcPr>
          <w:p>
            <w:pPr>
              <w:spacing w:after="20" w:before="20"/>
              <w:jc w:val="left"/>
            </w:pPr>
            <w:r/>
            <w:r>
              <w:rPr>
                <w:rFonts w:ascii="Calibri" w:hAnsi="Calibri"/>
                <w:b w:val="0"/>
                <w:i w:val="0"/>
                <w:color w:val="1A1420"/>
                <w:sz w:val="18"/>
              </w:rPr>
              <w:t>Ramas cub. / totales</w:t>
            </w:r>
          </w:p>
        </w:tc>
        <w:tc>
          <w:tcPr>
            <w:tcW w:type="dxa" w:w="2560"/>
          </w:tcPr>
          <w:p>
            <w:pPr>
              <w:spacing w:after="20" w:before="20"/>
              <w:jc w:val="center"/>
            </w:pPr>
            <w:r/>
            <w:r>
              <w:rPr>
                <w:rFonts w:ascii="Calibri" w:hAnsi="Calibri"/>
                <w:b w:val="0"/>
                <w:i w:val="0"/>
                <w:color w:val="1A1420"/>
                <w:sz w:val="18"/>
              </w:rPr>
              <w:t>Crear 90 · Cons 100 · Act 85 · Elim 63 · Tr 83</w:t>
            </w:r>
          </w:p>
        </w:tc>
        <w:tc>
          <w:tcPr>
            <w:tcW w:type="dxa" w:w="2500"/>
          </w:tcPr>
          <w:p>
            <w:pPr>
              <w:spacing w:after="20" w:before="20"/>
              <w:jc w:val="left"/>
            </w:pPr>
            <w:r/>
            <w:r>
              <w:rPr>
                <w:rFonts w:ascii="Calibri" w:hAnsi="Calibri"/>
                <w:b w:val="0"/>
                <w:i w:val="0"/>
                <w:color w:val="1A1420"/>
                <w:sz w:val="18"/>
              </w:rPr>
              <w:t>Eliminar por debajo de 80 %</w:t>
            </w:r>
          </w:p>
        </w:tc>
      </w:tr>
      <w:tr>
        <w:tc>
          <w:tcPr>
            <w:tcW w:type="dxa" w:w="2400"/>
          </w:tcPr>
          <w:p>
            <w:pPr>
              <w:spacing w:after="20" w:before="20"/>
              <w:jc w:val="left"/>
            </w:pPr>
            <w:r/>
            <w:r>
              <w:rPr>
                <w:rFonts w:ascii="Calibri" w:hAnsi="Calibri"/>
                <w:b/>
                <w:i w:val="0"/>
                <w:color w:val="1A1420"/>
                <w:sz w:val="18"/>
              </w:rPr>
              <w:t>Nº de errores (E)</w:t>
            </w:r>
          </w:p>
        </w:tc>
        <w:tc>
          <w:tcPr>
            <w:tcW w:type="dxa" w:w="1900"/>
          </w:tcPr>
          <w:p>
            <w:pPr>
              <w:spacing w:after="20" w:before="20"/>
              <w:jc w:val="left"/>
            </w:pPr>
            <w:r/>
            <w:r>
              <w:rPr>
                <w:rFonts w:ascii="Calibri" w:hAnsi="Calibri"/>
                <w:b w:val="0"/>
                <w:i w:val="0"/>
                <w:color w:val="1A1420"/>
                <w:sz w:val="18"/>
              </w:rPr>
              <w:t>Conteo</w:t>
            </w:r>
          </w:p>
        </w:tc>
        <w:tc>
          <w:tcPr>
            <w:tcW w:type="dxa" w:w="2560"/>
          </w:tcPr>
          <w:p>
            <w:pPr>
              <w:spacing w:after="20" w:before="20"/>
              <w:jc w:val="center"/>
            </w:pPr>
            <w:r/>
            <w:r>
              <w:rPr>
                <w:rFonts w:ascii="Calibri" w:hAnsi="Calibri"/>
                <w:b w:val="0"/>
                <w:i w:val="0"/>
                <w:color w:val="1A1420"/>
                <w:sz w:val="18"/>
              </w:rPr>
              <w:t>5</w:t>
            </w:r>
          </w:p>
        </w:tc>
        <w:tc>
          <w:tcPr>
            <w:tcW w:type="dxa" w:w="2500"/>
          </w:tcPr>
          <w:p>
            <w:pPr>
              <w:spacing w:after="20" w:before="20"/>
              <w:jc w:val="left"/>
            </w:pPr>
            <w:r/>
            <w:r>
              <w:rPr>
                <w:rFonts w:ascii="Calibri" w:hAnsi="Calibri"/>
                <w:b w:val="0"/>
                <w:i w:val="0"/>
                <w:color w:val="1A1420"/>
                <w:sz w:val="18"/>
              </w:rPr>
              <w:t>4 en Crear, 1 en Actualizar</w:t>
            </w:r>
          </w:p>
        </w:tc>
      </w:tr>
      <w:tr>
        <w:tc>
          <w:tcPr>
            <w:tcW w:type="dxa" w:w="2400"/>
          </w:tcPr>
          <w:p>
            <w:pPr>
              <w:spacing w:after="20" w:before="20"/>
              <w:jc w:val="left"/>
            </w:pPr>
            <w:r/>
            <w:r>
              <w:rPr>
                <w:rFonts w:ascii="Calibri" w:hAnsi="Calibri"/>
                <w:b/>
                <w:i w:val="0"/>
                <w:color w:val="1A1420"/>
                <w:sz w:val="18"/>
              </w:rPr>
              <w:t>EED</w:t>
            </w:r>
          </w:p>
        </w:tc>
        <w:tc>
          <w:tcPr>
            <w:tcW w:type="dxa" w:w="1900"/>
          </w:tcPr>
          <w:p>
            <w:pPr>
              <w:spacing w:after="20" w:before="20"/>
              <w:jc w:val="left"/>
            </w:pPr>
            <w:r/>
            <w:r>
              <w:rPr>
                <w:rFonts w:ascii="Calibri" w:hAnsi="Calibri"/>
                <w:b w:val="0"/>
                <w:i w:val="0"/>
                <w:color w:val="1A1420"/>
                <w:sz w:val="18"/>
              </w:rPr>
              <w:t>E/(E+D)</w:t>
            </w:r>
          </w:p>
        </w:tc>
        <w:tc>
          <w:tcPr>
            <w:tcW w:type="dxa" w:w="2560"/>
          </w:tcPr>
          <w:p>
            <w:pPr>
              <w:spacing w:after="20" w:before="20"/>
              <w:jc w:val="center"/>
            </w:pPr>
            <w:r/>
            <w:r>
              <w:rPr>
                <w:rFonts w:ascii="Calibri" w:hAnsi="Calibri"/>
                <w:b w:val="0"/>
                <w:i w:val="0"/>
                <w:color w:val="1A1420"/>
                <w:sz w:val="18"/>
              </w:rPr>
              <w:t>100 %</w:t>
            </w:r>
          </w:p>
        </w:tc>
        <w:tc>
          <w:tcPr>
            <w:tcW w:type="dxa" w:w="2500"/>
          </w:tcPr>
          <w:p>
            <w:pPr>
              <w:spacing w:after="20" w:before="20"/>
              <w:jc w:val="left"/>
            </w:pPr>
            <w:r/>
            <w:r>
              <w:rPr>
                <w:rFonts w:ascii="Calibri" w:hAnsi="Calibri"/>
                <w:b w:val="0"/>
                <w:i w:val="0"/>
                <w:color w:val="1A1420"/>
                <w:sz w:val="18"/>
              </w:rPr>
              <w:t>Trivial por D = 0</w:t>
            </w:r>
          </w:p>
        </w:tc>
      </w:tr>
      <w:tr>
        <w:tc>
          <w:tcPr>
            <w:tcW w:type="dxa" w:w="2400"/>
          </w:tcPr>
          <w:p>
            <w:pPr>
              <w:spacing w:after="20" w:before="20"/>
              <w:jc w:val="left"/>
            </w:pPr>
            <w:r/>
            <w:r>
              <w:rPr>
                <w:rFonts w:ascii="Calibri" w:hAnsi="Calibri"/>
                <w:b/>
                <w:i w:val="0"/>
                <w:color w:val="1A1420"/>
                <w:sz w:val="18"/>
              </w:rPr>
              <w:t>Total de pruebas</w:t>
            </w:r>
          </w:p>
        </w:tc>
        <w:tc>
          <w:tcPr>
            <w:tcW w:type="dxa" w:w="1900"/>
          </w:tcPr>
          <w:p>
            <w:pPr>
              <w:spacing w:after="20" w:before="20"/>
              <w:jc w:val="left"/>
            </w:pPr>
            <w:r/>
            <w:r>
              <w:rPr>
                <w:rFonts w:ascii="Calibri" w:hAnsi="Calibri"/>
                <w:b w:val="0"/>
                <w:i w:val="0"/>
                <w:color w:val="1A1420"/>
                <w:sz w:val="18"/>
              </w:rPr>
              <w:t>BE + FE</w:t>
            </w:r>
          </w:p>
        </w:tc>
        <w:tc>
          <w:tcPr>
            <w:tcW w:type="dxa" w:w="2560"/>
          </w:tcPr>
          <w:p>
            <w:pPr>
              <w:spacing w:after="20" w:before="20"/>
              <w:jc w:val="center"/>
            </w:pPr>
            <w:r/>
            <w:r>
              <w:rPr>
                <w:rFonts w:ascii="Calibri" w:hAnsi="Calibri"/>
                <w:b w:val="0"/>
                <w:i w:val="0"/>
                <w:color w:val="1A1420"/>
                <w:sz w:val="18"/>
              </w:rPr>
              <w:t>82</w:t>
            </w:r>
          </w:p>
        </w:tc>
        <w:tc>
          <w:tcPr>
            <w:tcW w:type="dxa" w:w="2500"/>
          </w:tcPr>
          <w:p>
            <w:pPr>
              <w:spacing w:after="20" w:before="20"/>
              <w:jc w:val="left"/>
            </w:pPr>
            <w:r/>
            <w:r>
              <w:rPr>
                <w:rFonts w:ascii="Calibri" w:hAnsi="Calibri"/>
                <w:b w:val="0"/>
                <w:i w:val="0"/>
                <w:color w:val="1A1420"/>
                <w:sz w:val="18"/>
              </w:rPr>
              <w:t>65 casos + 17 caminos</w:t>
            </w:r>
          </w:p>
        </w:tc>
      </w:tr>
    </w:tbl>
    <w:p>
      <w:pPr>
        <w:spacing w:after="40"/>
      </w:pPr>
    </w:p>
    <w:p>
      <w:r>
        <w:br w:type="page"/>
      </w:r>
    </w:p>
    <w:p>
      <w:pPr>
        <w:pStyle w:val="Heading1"/>
      </w:pPr>
      <w:r>
        <w:t>4. Métricas Estructurales</w:t>
      </w:r>
    </w:p>
    <w:p>
      <w:pPr>
        <w:spacing w:after="120"/>
        <w:jc w:val="left"/>
      </w:pPr>
      <w:r>
        <w:rPr>
          <w:b w:val="0"/>
          <w:i w:val="0"/>
          <w:color w:val="1A1420"/>
          <w:sz w:val="21"/>
        </w:rPr>
        <w:t>Miden la forma interna del código: cuántos caminos lógicos tiene y qué tan difícil es de entender. Verifican el software (¿está bien construido?), a diferencia de las de la sección 3, que validan (¿hace lo correcto?).</w:t>
      </w:r>
    </w:p>
    <w:p>
      <w:pPr>
        <w:pStyle w:val="Heading2"/>
      </w:pPr>
      <w:r>
        <w:t>4.1 Complejidad ciclomática V(G)</w:t>
      </w:r>
    </w:p>
    <w:p>
      <w:pPr>
        <w:spacing w:after="120"/>
        <w:jc w:val="left"/>
      </w:pPr>
      <w:r>
        <w:rPr>
          <w:b w:val="0"/>
          <w:i w:val="0"/>
          <w:color w:val="1A1420"/>
          <w:sz w:val="21"/>
        </w:rPr>
        <w:t>Definición (Clase 09, diap. 19-20): número de caminos lógicos independientes de un programa; indica cuántos casos de prueba mínimos se necesitan para cubrir todas las decisiones.</w:t>
      </w:r>
    </w:p>
    <w:p>
      <w:pPr>
        <w:spacing w:before="40" w:after="120"/>
        <w:ind w:left="360"/>
      </w:pPr>
      <w:r>
        <w:rPr>
          <w:rFonts w:ascii="Consolas" w:hAnsi="Consolas"/>
          <w:b/>
          <w:color w:val="5E0A99"/>
          <w:sz w:val="21"/>
        </w:rPr>
        <w:t xml:space="preserve">  V(G) = E − N + 2P        V(G) = D + 1  (si P = 1)  </w:t>
      </w:r>
    </w:p>
    <w:p>
      <w:pPr>
        <w:spacing w:after="120"/>
        <w:jc w:val="left"/>
      </w:pPr>
      <w:r>
        <w:rPr>
          <w:b w:val="0"/>
          <w:i w:val="0"/>
          <w:color w:val="1A1420"/>
          <w:sz w:val="21"/>
        </w:rPr>
        <w:t>De dónde sale: se contaron las decisiones (sentencias if/catch) de cada método. Ejemplo con CreatePocket.execute — sus 5 decisiones son:</w:t>
      </w:r>
    </w:p>
    <w:p>
      <w:pPr>
        <w:spacing w:after="80"/>
        <w:ind w:left="432"/>
      </w:pPr>
      <w:r>
        <w:rPr>
          <w:rFonts w:ascii="Consolas" w:hAnsi="Consolas"/>
          <w:color w:val="5E0A99"/>
          <w:sz w:val="19"/>
        </w:rPr>
        <w:t>• if (dto.amount &lt; 0)</w:t>
      </w:r>
    </w:p>
    <w:p>
      <w:pPr>
        <w:spacing w:after="80"/>
        <w:ind w:left="432"/>
      </w:pPr>
      <w:r>
        <w:rPr>
          <w:rFonts w:ascii="Consolas" w:hAnsi="Consolas"/>
          <w:color w:val="5E0A99"/>
          <w:sz w:val="19"/>
        </w:rPr>
        <w:t>• if (!account)</w:t>
      </w:r>
    </w:p>
    <w:p>
      <w:pPr>
        <w:spacing w:after="80"/>
        <w:ind w:left="432"/>
      </w:pPr>
      <w:r>
        <w:rPr>
          <w:rFonts w:ascii="Consolas" w:hAnsi="Consolas"/>
          <w:color w:val="5E0A99"/>
          <w:sz w:val="19"/>
        </w:rPr>
        <w:t>• if (!account.isOperational())</w:t>
      </w:r>
    </w:p>
    <w:p>
      <w:pPr>
        <w:spacing w:after="80"/>
        <w:ind w:left="432"/>
      </w:pPr>
      <w:r>
        <w:rPr>
          <w:rFonts w:ascii="Consolas" w:hAnsi="Consolas"/>
          <w:color w:val="5E0A99"/>
          <w:sz w:val="19"/>
        </w:rPr>
        <w:t>• if (currentReserved + dto.amount &gt; account.balance)</w:t>
      </w:r>
    </w:p>
    <w:p>
      <w:pPr>
        <w:spacing w:after="80"/>
        <w:ind w:left="432"/>
      </w:pPr>
      <w:r>
        <w:rPr>
          <w:rFonts w:ascii="Consolas" w:hAnsi="Consolas"/>
          <w:color w:val="5E0A99"/>
          <w:sz w:val="19"/>
        </w:rPr>
        <w:t>• if (this.notificationRepository)</w:t>
      </w:r>
    </w:p>
    <w:p>
      <w:pPr>
        <w:spacing w:after="120"/>
        <w:jc w:val="left"/>
      </w:pPr>
      <w:r>
        <w:rPr>
          <w:b w:val="0"/>
          <w:i w:val="0"/>
          <w:color w:val="1A1420"/>
          <w:sz w:val="21"/>
        </w:rPr>
        <w:t>Por tanto D = 5 y V(G) = 5 + 1 = 6. (La llamada account.assertBelongsTo(...) no se cuenta aquí: es un método aparte con su propia complejidad.) El mismo conteo aplicado a las demás unidades da:</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500"/>
            <w:shd w:val="clear" w:color="auto" w:fill="820AD1"/>
          </w:tcPr>
          <w:p>
            <w:pPr>
              <w:spacing w:after="20" w:before="20"/>
              <w:jc w:val="center"/>
            </w:pPr>
            <w:r/>
            <w:r>
              <w:rPr>
                <w:rFonts w:ascii="Calibri" w:hAnsi="Calibri"/>
                <w:b/>
                <w:i w:val="0"/>
                <w:color w:val="FFFFFF"/>
                <w:sz w:val="18"/>
              </w:rPr>
              <w:t>Funcionalidad</w:t>
            </w:r>
          </w:p>
        </w:tc>
        <w:tc>
          <w:tcPr>
            <w:tcW w:type="dxa" w:w="1050"/>
            <w:shd w:val="clear" w:color="auto" w:fill="820AD1"/>
          </w:tcPr>
          <w:p>
            <w:pPr>
              <w:spacing w:after="20" w:before="20"/>
              <w:jc w:val="center"/>
            </w:pPr>
            <w:r/>
            <w:r>
              <w:rPr>
                <w:rFonts w:ascii="Calibri" w:hAnsi="Calibri"/>
                <w:b/>
                <w:i w:val="0"/>
                <w:color w:val="FFFFFF"/>
                <w:sz w:val="18"/>
              </w:rPr>
              <w:t>Capa</w:t>
            </w:r>
          </w:p>
        </w:tc>
        <w:tc>
          <w:tcPr>
            <w:tcW w:type="dxa" w:w="3060"/>
            <w:shd w:val="clear" w:color="auto" w:fill="820AD1"/>
          </w:tcPr>
          <w:p>
            <w:pPr>
              <w:spacing w:after="20" w:before="20"/>
              <w:jc w:val="center"/>
            </w:pPr>
            <w:r/>
            <w:r>
              <w:rPr>
                <w:rFonts w:ascii="Calibri" w:hAnsi="Calibri"/>
                <w:b/>
                <w:i w:val="0"/>
                <w:color w:val="FFFFFF"/>
                <w:sz w:val="18"/>
              </w:rPr>
              <w:t>Unidad / Handler</w:t>
            </w:r>
          </w:p>
        </w:tc>
        <w:tc>
          <w:tcPr>
            <w:tcW w:type="dxa" w:w="1300"/>
            <w:shd w:val="clear" w:color="auto" w:fill="820AD1"/>
          </w:tcPr>
          <w:p>
            <w:pPr>
              <w:spacing w:after="20" w:before="20"/>
              <w:jc w:val="center"/>
            </w:pPr>
            <w:r/>
            <w:r>
              <w:rPr>
                <w:rFonts w:ascii="Calibri" w:hAnsi="Calibri"/>
                <w:b/>
                <w:i w:val="0"/>
                <w:color w:val="FFFFFF"/>
                <w:sz w:val="18"/>
              </w:rPr>
              <w:t>Decisiones (D)</w:t>
            </w:r>
          </w:p>
        </w:tc>
        <w:tc>
          <w:tcPr>
            <w:tcW w:type="dxa" w:w="1250"/>
            <w:shd w:val="clear" w:color="auto" w:fill="820AD1"/>
          </w:tcPr>
          <w:p>
            <w:pPr>
              <w:spacing w:after="20" w:before="20"/>
              <w:jc w:val="center"/>
            </w:pPr>
            <w:r/>
            <w:r>
              <w:rPr>
                <w:rFonts w:ascii="Calibri" w:hAnsi="Calibri"/>
                <w:b/>
                <w:i w:val="0"/>
                <w:color w:val="FFFFFF"/>
                <w:sz w:val="18"/>
              </w:rPr>
              <w:t>V(G) = D+1</w:t>
            </w:r>
          </w:p>
        </w:tc>
        <w:tc>
          <w:tcPr>
            <w:tcW w:type="dxa" w:w="1200"/>
            <w:shd w:val="clear" w:color="auto" w:fill="820AD1"/>
          </w:tcPr>
          <w:p>
            <w:pPr>
              <w:spacing w:after="20" w:before="20"/>
              <w:jc w:val="center"/>
            </w:pPr>
            <w:r/>
            <w:r>
              <w:rPr>
                <w:rFonts w:ascii="Calibri" w:hAnsi="Calibri"/>
                <w:b/>
                <w:i w:val="0"/>
                <w:color w:val="FFFFFF"/>
                <w:sz w:val="18"/>
              </w:rPr>
              <w:t>Riesgo (umbral &gt; 10)</w:t>
            </w:r>
          </w:p>
        </w:tc>
      </w:tr>
      <w:tr>
        <w:tc>
          <w:tcPr>
            <w:tcW w:type="dxa" w:w="1500"/>
            <w:shd w:val="clear" w:color="auto" w:fill="F4F0FA"/>
          </w:tcPr>
          <w:p>
            <w:pPr>
              <w:spacing w:after="20" w:before="20"/>
              <w:jc w:val="left"/>
            </w:pPr>
            <w:r/>
            <w:r>
              <w:rPr>
                <w:rFonts w:ascii="Calibri" w:hAnsi="Calibri"/>
                <w:b/>
                <w:i w:val="0"/>
                <w:color w:val="1A1420"/>
                <w:sz w:val="17"/>
              </w:rPr>
              <w:t>Crear</w:t>
            </w:r>
          </w:p>
        </w:tc>
        <w:tc>
          <w:tcPr>
            <w:tcW w:type="dxa" w:w="1050"/>
            <w:shd w:val="clear" w:color="auto" w:fill="F4F0FA"/>
          </w:tcPr>
          <w:p>
            <w:pPr>
              <w:spacing w:after="20" w:before="20"/>
              <w:jc w:val="center"/>
            </w:pPr>
            <w:r/>
            <w:r>
              <w:rPr>
                <w:rFonts w:ascii="Calibri" w:hAnsi="Calibri"/>
                <w:b w:val="0"/>
                <w:i w:val="0"/>
                <w:color w:val="1A1420"/>
                <w:sz w:val="17"/>
              </w:rPr>
              <w:t>Backend</w:t>
            </w:r>
          </w:p>
        </w:tc>
        <w:tc>
          <w:tcPr>
            <w:tcW w:type="dxa" w:w="3060"/>
            <w:shd w:val="clear" w:color="auto" w:fill="F4F0FA"/>
          </w:tcPr>
          <w:p>
            <w:pPr>
              <w:spacing w:after="20" w:before="20"/>
              <w:jc w:val="left"/>
            </w:pPr>
            <w:r/>
            <w:r>
              <w:rPr>
                <w:rFonts w:ascii="Calibri" w:hAnsi="Calibri"/>
                <w:b w:val="0"/>
                <w:i w:val="0"/>
                <w:color w:val="1A1420"/>
                <w:sz w:val="17"/>
              </w:rPr>
              <w:t>CreatePocket.execute</w:t>
            </w:r>
          </w:p>
        </w:tc>
        <w:tc>
          <w:tcPr>
            <w:tcW w:type="dxa" w:w="1300"/>
            <w:shd w:val="clear" w:color="auto" w:fill="F4F0FA"/>
          </w:tcPr>
          <w:p>
            <w:pPr>
              <w:spacing w:after="20" w:before="20"/>
              <w:jc w:val="center"/>
            </w:pPr>
            <w:r/>
            <w:r>
              <w:rPr>
                <w:rFonts w:ascii="Calibri" w:hAnsi="Calibri"/>
                <w:b w:val="0"/>
                <w:i w:val="0"/>
                <w:color w:val="1A1420"/>
                <w:sz w:val="17"/>
              </w:rPr>
              <w:t>5</w:t>
            </w:r>
          </w:p>
        </w:tc>
        <w:tc>
          <w:tcPr>
            <w:tcW w:type="dxa" w:w="1250"/>
            <w:shd w:val="clear" w:color="auto" w:fill="F4F0FA"/>
          </w:tcPr>
          <w:p>
            <w:pPr>
              <w:spacing w:after="20" w:before="20"/>
              <w:jc w:val="center"/>
            </w:pPr>
            <w:r/>
            <w:r>
              <w:rPr>
                <w:rFonts w:ascii="Calibri" w:hAnsi="Calibri"/>
                <w:b w:val="0"/>
                <w:i w:val="0"/>
                <w:color w:val="1A1420"/>
                <w:sz w:val="17"/>
              </w:rPr>
              <w:t>6</w:t>
            </w:r>
          </w:p>
        </w:tc>
        <w:tc>
          <w:tcPr>
            <w:tcW w:type="dxa" w:w="1200"/>
            <w:shd w:val="clear" w:color="auto" w:fill="F4F0FA"/>
          </w:tcPr>
          <w:p>
            <w:pPr>
              <w:spacing w:after="20" w:before="20"/>
              <w:jc w:val="center"/>
            </w:pPr>
            <w:r/>
            <w:r>
              <w:rPr>
                <w:rFonts w:ascii="Calibri" w:hAnsi="Calibri"/>
                <w:b w:val="0"/>
                <w:i w:val="0"/>
                <w:color w:val="1A1420"/>
                <w:sz w:val="17"/>
              </w:rPr>
              <w:t>Bajo</w:t>
            </w:r>
          </w:p>
        </w:tc>
      </w:tr>
      <w:tr>
        <w:tc>
          <w:tcPr>
            <w:tcW w:type="dxa" w:w="1500"/>
            <w:shd w:val="clear" w:color="auto" w:fill="F4F0FA"/>
          </w:tcPr>
          <w:p>
            <w:pPr>
              <w:spacing w:after="20" w:before="20"/>
              <w:jc w:val="left"/>
            </w:pPr>
            <w:r/>
            <w:r>
              <w:rPr>
                <w:rFonts w:ascii="Calibri" w:hAnsi="Calibri"/>
                <w:b/>
                <w:i w:val="0"/>
                <w:color w:val="1A1420"/>
                <w:sz w:val="17"/>
              </w:rPr>
              <w:t>Consultar</w:t>
            </w:r>
          </w:p>
        </w:tc>
        <w:tc>
          <w:tcPr>
            <w:tcW w:type="dxa" w:w="1050"/>
            <w:shd w:val="clear" w:color="auto" w:fill="F4F0FA"/>
          </w:tcPr>
          <w:p>
            <w:pPr>
              <w:spacing w:after="20" w:before="20"/>
              <w:jc w:val="center"/>
            </w:pPr>
            <w:r/>
            <w:r>
              <w:rPr>
                <w:rFonts w:ascii="Calibri" w:hAnsi="Calibri"/>
                <w:b w:val="0"/>
                <w:i w:val="0"/>
                <w:color w:val="1A1420"/>
                <w:sz w:val="17"/>
              </w:rPr>
              <w:t>Backend</w:t>
            </w:r>
          </w:p>
        </w:tc>
        <w:tc>
          <w:tcPr>
            <w:tcW w:type="dxa" w:w="3060"/>
            <w:shd w:val="clear" w:color="auto" w:fill="F4F0FA"/>
          </w:tcPr>
          <w:p>
            <w:pPr>
              <w:spacing w:after="20" w:before="20"/>
              <w:jc w:val="left"/>
            </w:pPr>
            <w:r/>
            <w:r>
              <w:rPr>
                <w:rFonts w:ascii="Calibri" w:hAnsi="Calibri"/>
                <w:b w:val="0"/>
                <w:i w:val="0"/>
                <w:color w:val="1A1420"/>
                <w:sz w:val="17"/>
              </w:rPr>
              <w:t>GetAccountPockets.execute</w:t>
            </w:r>
          </w:p>
        </w:tc>
        <w:tc>
          <w:tcPr>
            <w:tcW w:type="dxa" w:w="1300"/>
            <w:shd w:val="clear" w:color="auto" w:fill="F4F0FA"/>
          </w:tcPr>
          <w:p>
            <w:pPr>
              <w:spacing w:after="20" w:before="20"/>
              <w:jc w:val="center"/>
            </w:pPr>
            <w:r/>
            <w:r>
              <w:rPr>
                <w:rFonts w:ascii="Calibri" w:hAnsi="Calibri"/>
                <w:b w:val="0"/>
                <w:i w:val="0"/>
                <w:color w:val="1A1420"/>
                <w:sz w:val="17"/>
              </w:rPr>
              <w:t>1</w:t>
            </w:r>
          </w:p>
        </w:tc>
        <w:tc>
          <w:tcPr>
            <w:tcW w:type="dxa" w:w="1250"/>
            <w:shd w:val="clear" w:color="auto" w:fill="F4F0FA"/>
          </w:tcPr>
          <w:p>
            <w:pPr>
              <w:spacing w:after="20" w:before="20"/>
              <w:jc w:val="center"/>
            </w:pPr>
            <w:r/>
            <w:r>
              <w:rPr>
                <w:rFonts w:ascii="Calibri" w:hAnsi="Calibri"/>
                <w:b w:val="0"/>
                <w:i w:val="0"/>
                <w:color w:val="1A1420"/>
                <w:sz w:val="17"/>
              </w:rPr>
              <w:t>2</w:t>
            </w:r>
          </w:p>
        </w:tc>
        <w:tc>
          <w:tcPr>
            <w:tcW w:type="dxa" w:w="1200"/>
            <w:shd w:val="clear" w:color="auto" w:fill="F4F0FA"/>
          </w:tcPr>
          <w:p>
            <w:pPr>
              <w:spacing w:after="20" w:before="20"/>
              <w:jc w:val="center"/>
            </w:pPr>
            <w:r/>
            <w:r>
              <w:rPr>
                <w:rFonts w:ascii="Calibri" w:hAnsi="Calibri"/>
                <w:b w:val="0"/>
                <w:i w:val="0"/>
                <w:color w:val="1A1420"/>
                <w:sz w:val="17"/>
              </w:rPr>
              <w:t>Bajo</w:t>
            </w:r>
          </w:p>
        </w:tc>
      </w:tr>
      <w:tr>
        <w:tc>
          <w:tcPr>
            <w:tcW w:type="dxa" w:w="1500"/>
            <w:shd w:val="clear" w:color="auto" w:fill="F4F0FA"/>
          </w:tcPr>
          <w:p>
            <w:pPr>
              <w:spacing w:after="20" w:before="20"/>
              <w:jc w:val="left"/>
            </w:pPr>
            <w:r/>
            <w:r>
              <w:rPr>
                <w:rFonts w:ascii="Calibri" w:hAnsi="Calibri"/>
                <w:b/>
                <w:i w:val="0"/>
                <w:color w:val="1A1420"/>
                <w:sz w:val="17"/>
              </w:rPr>
              <w:t>Actualizar</w:t>
            </w:r>
          </w:p>
        </w:tc>
        <w:tc>
          <w:tcPr>
            <w:tcW w:type="dxa" w:w="1050"/>
            <w:shd w:val="clear" w:color="auto" w:fill="F4F0FA"/>
          </w:tcPr>
          <w:p>
            <w:pPr>
              <w:spacing w:after="20" w:before="20"/>
              <w:jc w:val="center"/>
            </w:pPr>
            <w:r/>
            <w:r>
              <w:rPr>
                <w:rFonts w:ascii="Calibri" w:hAnsi="Calibri"/>
                <w:b w:val="0"/>
                <w:i w:val="0"/>
                <w:color w:val="1A1420"/>
                <w:sz w:val="17"/>
              </w:rPr>
              <w:t>Backend</w:t>
            </w:r>
          </w:p>
        </w:tc>
        <w:tc>
          <w:tcPr>
            <w:tcW w:type="dxa" w:w="3060"/>
            <w:shd w:val="clear" w:color="auto" w:fill="F4F0FA"/>
          </w:tcPr>
          <w:p>
            <w:pPr>
              <w:spacing w:after="20" w:before="20"/>
              <w:jc w:val="left"/>
            </w:pPr>
            <w:r/>
            <w:r>
              <w:rPr>
                <w:rFonts w:ascii="Calibri" w:hAnsi="Calibri"/>
                <w:b w:val="0"/>
                <w:i w:val="0"/>
                <w:color w:val="1A1420"/>
                <w:sz w:val="17"/>
              </w:rPr>
              <w:t>UpdatePocket.execute</w:t>
            </w:r>
          </w:p>
        </w:tc>
        <w:tc>
          <w:tcPr>
            <w:tcW w:type="dxa" w:w="1300"/>
            <w:shd w:val="clear" w:color="auto" w:fill="F4F0FA"/>
          </w:tcPr>
          <w:p>
            <w:pPr>
              <w:spacing w:after="20" w:before="20"/>
              <w:jc w:val="center"/>
            </w:pPr>
            <w:r/>
            <w:r>
              <w:rPr>
                <w:rFonts w:ascii="Calibri" w:hAnsi="Calibri"/>
                <w:b w:val="0"/>
                <w:i w:val="0"/>
                <w:color w:val="1A1420"/>
                <w:sz w:val="17"/>
              </w:rPr>
              <w:t>10</w:t>
            </w:r>
          </w:p>
        </w:tc>
        <w:tc>
          <w:tcPr>
            <w:tcW w:type="dxa" w:w="1250"/>
            <w:shd w:val="clear" w:color="auto" w:fill="FBE0E6"/>
          </w:tcPr>
          <w:p>
            <w:pPr>
              <w:spacing w:after="20" w:before="20"/>
              <w:jc w:val="center"/>
            </w:pPr>
            <w:r/>
            <w:r>
              <w:rPr>
                <w:rFonts w:ascii="Calibri" w:hAnsi="Calibri"/>
                <w:b w:val="0"/>
                <w:i w:val="0"/>
                <w:color w:val="1A1420"/>
                <w:sz w:val="17"/>
              </w:rPr>
              <w:t>11</w:t>
            </w:r>
          </w:p>
        </w:tc>
        <w:tc>
          <w:tcPr>
            <w:tcW w:type="dxa" w:w="1200"/>
            <w:shd w:val="clear" w:color="auto" w:fill="FBE0E6"/>
          </w:tcPr>
          <w:p>
            <w:pPr>
              <w:spacing w:after="20" w:before="20"/>
              <w:jc w:val="center"/>
            </w:pPr>
            <w:r/>
            <w:r>
              <w:rPr>
                <w:rFonts w:ascii="Calibri" w:hAnsi="Calibri"/>
                <w:b w:val="0"/>
                <w:i w:val="0"/>
                <w:color w:val="1A1420"/>
                <w:sz w:val="17"/>
              </w:rPr>
              <w:t>Alto riesgo</w:t>
            </w:r>
          </w:p>
        </w:tc>
      </w:tr>
      <w:tr>
        <w:tc>
          <w:tcPr>
            <w:tcW w:type="dxa" w:w="1500"/>
            <w:shd w:val="clear" w:color="auto" w:fill="F4F0FA"/>
          </w:tcPr>
          <w:p>
            <w:pPr>
              <w:spacing w:after="20" w:before="20"/>
              <w:jc w:val="left"/>
            </w:pPr>
            <w:r/>
            <w:r>
              <w:rPr>
                <w:rFonts w:ascii="Calibri" w:hAnsi="Calibri"/>
                <w:b/>
                <w:i w:val="0"/>
                <w:color w:val="1A1420"/>
                <w:sz w:val="17"/>
              </w:rPr>
              <w:t>Eliminar</w:t>
            </w:r>
          </w:p>
        </w:tc>
        <w:tc>
          <w:tcPr>
            <w:tcW w:type="dxa" w:w="1050"/>
            <w:shd w:val="clear" w:color="auto" w:fill="F4F0FA"/>
          </w:tcPr>
          <w:p>
            <w:pPr>
              <w:spacing w:after="20" w:before="20"/>
              <w:jc w:val="center"/>
            </w:pPr>
            <w:r/>
            <w:r>
              <w:rPr>
                <w:rFonts w:ascii="Calibri" w:hAnsi="Calibri"/>
                <w:b w:val="0"/>
                <w:i w:val="0"/>
                <w:color w:val="1A1420"/>
                <w:sz w:val="17"/>
              </w:rPr>
              <w:t>Backend</w:t>
            </w:r>
          </w:p>
        </w:tc>
        <w:tc>
          <w:tcPr>
            <w:tcW w:type="dxa" w:w="3060"/>
            <w:shd w:val="clear" w:color="auto" w:fill="F4F0FA"/>
          </w:tcPr>
          <w:p>
            <w:pPr>
              <w:spacing w:after="20" w:before="20"/>
              <w:jc w:val="left"/>
            </w:pPr>
            <w:r/>
            <w:r>
              <w:rPr>
                <w:rFonts w:ascii="Calibri" w:hAnsi="Calibri"/>
                <w:b w:val="0"/>
                <w:i w:val="0"/>
                <w:color w:val="1A1420"/>
                <w:sz w:val="17"/>
              </w:rPr>
              <w:t>DeletePocket.execute</w:t>
            </w:r>
          </w:p>
        </w:tc>
        <w:tc>
          <w:tcPr>
            <w:tcW w:type="dxa" w:w="1300"/>
            <w:shd w:val="clear" w:color="auto" w:fill="F4F0FA"/>
          </w:tcPr>
          <w:p>
            <w:pPr>
              <w:spacing w:after="20" w:before="20"/>
              <w:jc w:val="center"/>
            </w:pPr>
            <w:r/>
            <w:r>
              <w:rPr>
                <w:rFonts w:ascii="Calibri" w:hAnsi="Calibri"/>
                <w:b w:val="0"/>
                <w:i w:val="0"/>
                <w:color w:val="1A1420"/>
                <w:sz w:val="17"/>
              </w:rPr>
              <w:t>4</w:t>
            </w:r>
          </w:p>
        </w:tc>
        <w:tc>
          <w:tcPr>
            <w:tcW w:type="dxa" w:w="1250"/>
            <w:shd w:val="clear" w:color="auto" w:fill="F4F0FA"/>
          </w:tcPr>
          <w:p>
            <w:pPr>
              <w:spacing w:after="20" w:before="20"/>
              <w:jc w:val="center"/>
            </w:pPr>
            <w:r/>
            <w:r>
              <w:rPr>
                <w:rFonts w:ascii="Calibri" w:hAnsi="Calibri"/>
                <w:b w:val="0"/>
                <w:i w:val="0"/>
                <w:color w:val="1A1420"/>
                <w:sz w:val="17"/>
              </w:rPr>
              <w:t>5</w:t>
            </w:r>
          </w:p>
        </w:tc>
        <w:tc>
          <w:tcPr>
            <w:tcW w:type="dxa" w:w="1200"/>
            <w:shd w:val="clear" w:color="auto" w:fill="F4F0FA"/>
          </w:tcPr>
          <w:p>
            <w:pPr>
              <w:spacing w:after="20" w:before="20"/>
              <w:jc w:val="center"/>
            </w:pPr>
            <w:r/>
            <w:r>
              <w:rPr>
                <w:rFonts w:ascii="Calibri" w:hAnsi="Calibri"/>
                <w:b w:val="0"/>
                <w:i w:val="0"/>
                <w:color w:val="1A1420"/>
                <w:sz w:val="17"/>
              </w:rPr>
              <w:t>Bajo</w:t>
            </w:r>
          </w:p>
        </w:tc>
      </w:tr>
      <w:tr>
        <w:tc>
          <w:tcPr>
            <w:tcW w:type="dxa" w:w="1500"/>
            <w:shd w:val="clear" w:color="auto" w:fill="F4F0FA"/>
          </w:tcPr>
          <w:p>
            <w:pPr>
              <w:spacing w:after="20" w:before="20"/>
              <w:jc w:val="left"/>
            </w:pPr>
            <w:r/>
            <w:r>
              <w:rPr>
                <w:rFonts w:ascii="Calibri" w:hAnsi="Calibri"/>
                <w:b/>
                <w:i w:val="0"/>
                <w:color w:val="1A1420"/>
                <w:sz w:val="17"/>
              </w:rPr>
              <w:t>Transferir</w:t>
            </w:r>
          </w:p>
        </w:tc>
        <w:tc>
          <w:tcPr>
            <w:tcW w:type="dxa" w:w="1050"/>
            <w:shd w:val="clear" w:color="auto" w:fill="F4F0FA"/>
          </w:tcPr>
          <w:p>
            <w:pPr>
              <w:spacing w:after="20" w:before="20"/>
              <w:jc w:val="center"/>
            </w:pPr>
            <w:r/>
            <w:r>
              <w:rPr>
                <w:rFonts w:ascii="Calibri" w:hAnsi="Calibri"/>
                <w:b w:val="0"/>
                <w:i w:val="0"/>
                <w:color w:val="1A1420"/>
                <w:sz w:val="17"/>
              </w:rPr>
              <w:t>Backend</w:t>
            </w:r>
          </w:p>
        </w:tc>
        <w:tc>
          <w:tcPr>
            <w:tcW w:type="dxa" w:w="3060"/>
            <w:shd w:val="clear" w:color="auto" w:fill="F4F0FA"/>
          </w:tcPr>
          <w:p>
            <w:pPr>
              <w:spacing w:after="20" w:before="20"/>
              <w:jc w:val="left"/>
            </w:pPr>
            <w:r/>
            <w:r>
              <w:rPr>
                <w:rFonts w:ascii="Calibri" w:hAnsi="Calibri"/>
                <w:b w:val="0"/>
                <w:i w:val="0"/>
                <w:color w:val="1A1420"/>
                <w:sz w:val="17"/>
              </w:rPr>
              <w:t>TransferPocketBalance.execute</w:t>
            </w:r>
          </w:p>
        </w:tc>
        <w:tc>
          <w:tcPr>
            <w:tcW w:type="dxa" w:w="1300"/>
            <w:shd w:val="clear" w:color="auto" w:fill="F4F0FA"/>
          </w:tcPr>
          <w:p>
            <w:pPr>
              <w:spacing w:after="20" w:before="20"/>
              <w:jc w:val="center"/>
            </w:pPr>
            <w:r/>
            <w:r>
              <w:rPr>
                <w:rFonts w:ascii="Calibri" w:hAnsi="Calibri"/>
                <w:b w:val="0"/>
                <w:i w:val="0"/>
                <w:color w:val="1A1420"/>
                <w:sz w:val="17"/>
              </w:rPr>
              <w:t>9</w:t>
            </w:r>
          </w:p>
        </w:tc>
        <w:tc>
          <w:tcPr>
            <w:tcW w:type="dxa" w:w="1250"/>
            <w:shd w:val="clear" w:color="auto" w:fill="F4F0FA"/>
          </w:tcPr>
          <w:p>
            <w:pPr>
              <w:spacing w:after="20" w:before="20"/>
              <w:jc w:val="center"/>
            </w:pPr>
            <w:r/>
            <w:r>
              <w:rPr>
                <w:rFonts w:ascii="Calibri" w:hAnsi="Calibri"/>
                <w:b w:val="0"/>
                <w:i w:val="0"/>
                <w:color w:val="1A1420"/>
                <w:sz w:val="17"/>
              </w:rPr>
              <w:t>10</w:t>
            </w:r>
          </w:p>
        </w:tc>
        <w:tc>
          <w:tcPr>
            <w:tcW w:type="dxa" w:w="1200"/>
            <w:shd w:val="clear" w:color="auto" w:fill="F4F0FA"/>
          </w:tcPr>
          <w:p>
            <w:pPr>
              <w:spacing w:after="20" w:before="20"/>
              <w:jc w:val="center"/>
            </w:pPr>
            <w:r/>
            <w:r>
              <w:rPr>
                <w:rFonts w:ascii="Calibri" w:hAnsi="Calibri"/>
                <w:b w:val="0"/>
                <w:i w:val="0"/>
                <w:color w:val="1A1420"/>
                <w:sz w:val="17"/>
              </w:rPr>
              <w:t>Moderado</w:t>
            </w:r>
          </w:p>
        </w:tc>
      </w:tr>
      <w:tr>
        <w:tc>
          <w:tcPr>
            <w:tcW w:type="dxa" w:w="1500"/>
            <w:shd w:val="clear" w:color="auto" w:fill="EAF4FB"/>
          </w:tcPr>
          <w:p>
            <w:pPr>
              <w:spacing w:after="20" w:before="20"/>
              <w:jc w:val="left"/>
            </w:pPr>
            <w:r/>
            <w:r>
              <w:rPr>
                <w:rFonts w:ascii="Calibri" w:hAnsi="Calibri"/>
                <w:b/>
                <w:i w:val="0"/>
                <w:color w:val="1A1420"/>
                <w:sz w:val="17"/>
              </w:rPr>
              <w:t>Crear</w:t>
            </w:r>
          </w:p>
        </w:tc>
        <w:tc>
          <w:tcPr>
            <w:tcW w:type="dxa" w:w="1050"/>
            <w:shd w:val="clear" w:color="auto" w:fill="EAF4FB"/>
          </w:tcPr>
          <w:p>
            <w:pPr>
              <w:spacing w:after="20" w:before="20"/>
              <w:jc w:val="center"/>
            </w:pPr>
            <w:r/>
            <w:r>
              <w:rPr>
                <w:rFonts w:ascii="Calibri" w:hAnsi="Calibri"/>
                <w:b w:val="0"/>
                <w:i w:val="0"/>
                <w:color w:val="1A1420"/>
                <w:sz w:val="17"/>
              </w:rPr>
              <w:t>Frontend</w:t>
            </w:r>
          </w:p>
        </w:tc>
        <w:tc>
          <w:tcPr>
            <w:tcW w:type="dxa" w:w="3060"/>
            <w:shd w:val="clear" w:color="auto" w:fill="EAF4FB"/>
          </w:tcPr>
          <w:p>
            <w:pPr>
              <w:spacing w:after="20" w:before="20"/>
              <w:jc w:val="left"/>
            </w:pPr>
            <w:r/>
            <w:r>
              <w:rPr>
                <w:rFonts w:ascii="Calibri" w:hAnsi="Calibri"/>
                <w:b w:val="0"/>
                <w:i w:val="0"/>
                <w:color w:val="1A1420"/>
                <w:sz w:val="17"/>
              </w:rPr>
              <w:t>handleCreate</w:t>
            </w:r>
          </w:p>
        </w:tc>
        <w:tc>
          <w:tcPr>
            <w:tcW w:type="dxa" w:w="1300"/>
            <w:shd w:val="clear" w:color="auto" w:fill="EAF4FB"/>
          </w:tcPr>
          <w:p>
            <w:pPr>
              <w:spacing w:after="20" w:before="20"/>
              <w:jc w:val="center"/>
            </w:pPr>
            <w:r/>
            <w:r>
              <w:rPr>
                <w:rFonts w:ascii="Calibri" w:hAnsi="Calibri"/>
                <w:b w:val="0"/>
                <w:i w:val="0"/>
                <w:color w:val="1A1420"/>
                <w:sz w:val="17"/>
              </w:rPr>
              <w:t>2</w:t>
            </w:r>
          </w:p>
        </w:tc>
        <w:tc>
          <w:tcPr>
            <w:tcW w:type="dxa" w:w="1250"/>
            <w:shd w:val="clear" w:color="auto" w:fill="EAF4FB"/>
          </w:tcPr>
          <w:p>
            <w:pPr>
              <w:spacing w:after="20" w:before="20"/>
              <w:jc w:val="center"/>
            </w:pPr>
            <w:r/>
            <w:r>
              <w:rPr>
                <w:rFonts w:ascii="Calibri" w:hAnsi="Calibri"/>
                <w:b w:val="0"/>
                <w:i w:val="0"/>
                <w:color w:val="1A1420"/>
                <w:sz w:val="17"/>
              </w:rPr>
              <w:t>3</w:t>
            </w:r>
          </w:p>
        </w:tc>
        <w:tc>
          <w:tcPr>
            <w:tcW w:type="dxa" w:w="1200"/>
            <w:shd w:val="clear" w:color="auto" w:fill="EAF4FB"/>
          </w:tcPr>
          <w:p>
            <w:pPr>
              <w:spacing w:after="20" w:before="20"/>
              <w:jc w:val="center"/>
            </w:pPr>
            <w:r/>
            <w:r>
              <w:rPr>
                <w:rFonts w:ascii="Calibri" w:hAnsi="Calibri"/>
                <w:b w:val="0"/>
                <w:i w:val="0"/>
                <w:color w:val="1A1420"/>
                <w:sz w:val="17"/>
              </w:rPr>
              <w:t>Bajo</w:t>
            </w:r>
          </w:p>
        </w:tc>
      </w:tr>
      <w:tr>
        <w:tc>
          <w:tcPr>
            <w:tcW w:type="dxa" w:w="1500"/>
            <w:shd w:val="clear" w:color="auto" w:fill="EAF4FB"/>
          </w:tcPr>
          <w:p>
            <w:pPr>
              <w:spacing w:after="20" w:before="20"/>
              <w:jc w:val="left"/>
            </w:pPr>
            <w:r/>
            <w:r>
              <w:rPr>
                <w:rFonts w:ascii="Calibri" w:hAnsi="Calibri"/>
                <w:b/>
                <w:i w:val="0"/>
                <w:color w:val="1A1420"/>
                <w:sz w:val="17"/>
              </w:rPr>
              <w:t>Consultar</w:t>
            </w:r>
          </w:p>
        </w:tc>
        <w:tc>
          <w:tcPr>
            <w:tcW w:type="dxa" w:w="1050"/>
            <w:shd w:val="clear" w:color="auto" w:fill="EAF4FB"/>
          </w:tcPr>
          <w:p>
            <w:pPr>
              <w:spacing w:after="20" w:before="20"/>
              <w:jc w:val="center"/>
            </w:pPr>
            <w:r/>
            <w:r>
              <w:rPr>
                <w:rFonts w:ascii="Calibri" w:hAnsi="Calibri"/>
                <w:b w:val="0"/>
                <w:i w:val="0"/>
                <w:color w:val="1A1420"/>
                <w:sz w:val="17"/>
              </w:rPr>
              <w:t>Frontend</w:t>
            </w:r>
          </w:p>
        </w:tc>
        <w:tc>
          <w:tcPr>
            <w:tcW w:type="dxa" w:w="3060"/>
            <w:shd w:val="clear" w:color="auto" w:fill="EAF4FB"/>
          </w:tcPr>
          <w:p>
            <w:pPr>
              <w:spacing w:after="20" w:before="20"/>
              <w:jc w:val="left"/>
            </w:pPr>
            <w:r/>
            <w:r>
              <w:rPr>
                <w:rFonts w:ascii="Calibri" w:hAnsi="Calibri"/>
                <w:b w:val="0"/>
                <w:i w:val="0"/>
                <w:color w:val="1A1420"/>
                <w:sz w:val="17"/>
              </w:rPr>
              <w:t>loadPockets</w:t>
            </w:r>
          </w:p>
        </w:tc>
        <w:tc>
          <w:tcPr>
            <w:tcW w:type="dxa" w:w="1300"/>
            <w:shd w:val="clear" w:color="auto" w:fill="EAF4FB"/>
          </w:tcPr>
          <w:p>
            <w:pPr>
              <w:spacing w:after="20" w:before="20"/>
              <w:jc w:val="center"/>
            </w:pPr>
            <w:r/>
            <w:r>
              <w:rPr>
                <w:rFonts w:ascii="Calibri" w:hAnsi="Calibri"/>
                <w:b w:val="0"/>
                <w:i w:val="0"/>
                <w:color w:val="1A1420"/>
                <w:sz w:val="17"/>
              </w:rPr>
              <w:t>1</w:t>
            </w:r>
          </w:p>
        </w:tc>
        <w:tc>
          <w:tcPr>
            <w:tcW w:type="dxa" w:w="1250"/>
            <w:shd w:val="clear" w:color="auto" w:fill="EAF4FB"/>
          </w:tcPr>
          <w:p>
            <w:pPr>
              <w:spacing w:after="20" w:before="20"/>
              <w:jc w:val="center"/>
            </w:pPr>
            <w:r/>
            <w:r>
              <w:rPr>
                <w:rFonts w:ascii="Calibri" w:hAnsi="Calibri"/>
                <w:b w:val="0"/>
                <w:i w:val="0"/>
                <w:color w:val="1A1420"/>
                <w:sz w:val="17"/>
              </w:rPr>
              <w:t>2</w:t>
            </w:r>
          </w:p>
        </w:tc>
        <w:tc>
          <w:tcPr>
            <w:tcW w:type="dxa" w:w="1200"/>
            <w:shd w:val="clear" w:color="auto" w:fill="EAF4FB"/>
          </w:tcPr>
          <w:p>
            <w:pPr>
              <w:spacing w:after="20" w:before="20"/>
              <w:jc w:val="center"/>
            </w:pPr>
            <w:r/>
            <w:r>
              <w:rPr>
                <w:rFonts w:ascii="Calibri" w:hAnsi="Calibri"/>
                <w:b w:val="0"/>
                <w:i w:val="0"/>
                <w:color w:val="1A1420"/>
                <w:sz w:val="17"/>
              </w:rPr>
              <w:t>Bajo</w:t>
            </w:r>
          </w:p>
        </w:tc>
      </w:tr>
      <w:tr>
        <w:tc>
          <w:tcPr>
            <w:tcW w:type="dxa" w:w="1500"/>
            <w:shd w:val="clear" w:color="auto" w:fill="EAF4FB"/>
          </w:tcPr>
          <w:p>
            <w:pPr>
              <w:spacing w:after="20" w:before="20"/>
              <w:jc w:val="left"/>
            </w:pPr>
            <w:r/>
            <w:r>
              <w:rPr>
                <w:rFonts w:ascii="Calibri" w:hAnsi="Calibri"/>
                <w:b/>
                <w:i w:val="0"/>
                <w:color w:val="1A1420"/>
                <w:sz w:val="17"/>
              </w:rPr>
              <w:t>Actualizar</w:t>
            </w:r>
          </w:p>
        </w:tc>
        <w:tc>
          <w:tcPr>
            <w:tcW w:type="dxa" w:w="1050"/>
            <w:shd w:val="clear" w:color="auto" w:fill="EAF4FB"/>
          </w:tcPr>
          <w:p>
            <w:pPr>
              <w:spacing w:after="20" w:before="20"/>
              <w:jc w:val="center"/>
            </w:pPr>
            <w:r/>
            <w:r>
              <w:rPr>
                <w:rFonts w:ascii="Calibri" w:hAnsi="Calibri"/>
                <w:b w:val="0"/>
                <w:i w:val="0"/>
                <w:color w:val="1A1420"/>
                <w:sz w:val="17"/>
              </w:rPr>
              <w:t>Frontend</w:t>
            </w:r>
          </w:p>
        </w:tc>
        <w:tc>
          <w:tcPr>
            <w:tcW w:type="dxa" w:w="3060"/>
            <w:shd w:val="clear" w:color="auto" w:fill="EAF4FB"/>
          </w:tcPr>
          <w:p>
            <w:pPr>
              <w:spacing w:after="20" w:before="20"/>
              <w:jc w:val="left"/>
            </w:pPr>
            <w:r/>
            <w:r>
              <w:rPr>
                <w:rFonts w:ascii="Calibri" w:hAnsi="Calibri"/>
                <w:b w:val="0"/>
                <w:i w:val="0"/>
                <w:color w:val="1A1420"/>
                <w:sz w:val="17"/>
              </w:rPr>
              <w:t>handleSaveEdit</w:t>
            </w:r>
          </w:p>
        </w:tc>
        <w:tc>
          <w:tcPr>
            <w:tcW w:type="dxa" w:w="1300"/>
            <w:shd w:val="clear" w:color="auto" w:fill="EAF4FB"/>
          </w:tcPr>
          <w:p>
            <w:pPr>
              <w:spacing w:after="20" w:before="20"/>
              <w:jc w:val="center"/>
            </w:pPr>
            <w:r/>
            <w:r>
              <w:rPr>
                <w:rFonts w:ascii="Calibri" w:hAnsi="Calibri"/>
                <w:b w:val="0"/>
                <w:i w:val="0"/>
                <w:color w:val="1A1420"/>
                <w:sz w:val="17"/>
              </w:rPr>
              <w:t>2</w:t>
            </w:r>
          </w:p>
        </w:tc>
        <w:tc>
          <w:tcPr>
            <w:tcW w:type="dxa" w:w="1250"/>
            <w:shd w:val="clear" w:color="auto" w:fill="EAF4FB"/>
          </w:tcPr>
          <w:p>
            <w:pPr>
              <w:spacing w:after="20" w:before="20"/>
              <w:jc w:val="center"/>
            </w:pPr>
            <w:r/>
            <w:r>
              <w:rPr>
                <w:rFonts w:ascii="Calibri" w:hAnsi="Calibri"/>
                <w:b w:val="0"/>
                <w:i w:val="0"/>
                <w:color w:val="1A1420"/>
                <w:sz w:val="17"/>
              </w:rPr>
              <w:t>3</w:t>
            </w:r>
          </w:p>
        </w:tc>
        <w:tc>
          <w:tcPr>
            <w:tcW w:type="dxa" w:w="1200"/>
            <w:shd w:val="clear" w:color="auto" w:fill="EAF4FB"/>
          </w:tcPr>
          <w:p>
            <w:pPr>
              <w:spacing w:after="20" w:before="20"/>
              <w:jc w:val="center"/>
            </w:pPr>
            <w:r/>
            <w:r>
              <w:rPr>
                <w:rFonts w:ascii="Calibri" w:hAnsi="Calibri"/>
                <w:b w:val="0"/>
                <w:i w:val="0"/>
                <w:color w:val="1A1420"/>
                <w:sz w:val="17"/>
              </w:rPr>
              <w:t>Bajo</w:t>
            </w:r>
          </w:p>
        </w:tc>
      </w:tr>
      <w:tr>
        <w:tc>
          <w:tcPr>
            <w:tcW w:type="dxa" w:w="1500"/>
            <w:shd w:val="clear" w:color="auto" w:fill="EAF4FB"/>
          </w:tcPr>
          <w:p>
            <w:pPr>
              <w:spacing w:after="20" w:before="20"/>
              <w:jc w:val="left"/>
            </w:pPr>
            <w:r/>
            <w:r>
              <w:rPr>
                <w:rFonts w:ascii="Calibri" w:hAnsi="Calibri"/>
                <w:b/>
                <w:i w:val="0"/>
                <w:color w:val="1A1420"/>
                <w:sz w:val="17"/>
              </w:rPr>
              <w:t>Eliminar</w:t>
            </w:r>
          </w:p>
        </w:tc>
        <w:tc>
          <w:tcPr>
            <w:tcW w:type="dxa" w:w="1050"/>
            <w:shd w:val="clear" w:color="auto" w:fill="EAF4FB"/>
          </w:tcPr>
          <w:p>
            <w:pPr>
              <w:spacing w:after="20" w:before="20"/>
              <w:jc w:val="center"/>
            </w:pPr>
            <w:r/>
            <w:r>
              <w:rPr>
                <w:rFonts w:ascii="Calibri" w:hAnsi="Calibri"/>
                <w:b w:val="0"/>
                <w:i w:val="0"/>
                <w:color w:val="1A1420"/>
                <w:sz w:val="17"/>
              </w:rPr>
              <w:t>Frontend</w:t>
            </w:r>
          </w:p>
        </w:tc>
        <w:tc>
          <w:tcPr>
            <w:tcW w:type="dxa" w:w="3060"/>
            <w:shd w:val="clear" w:color="auto" w:fill="EAF4FB"/>
          </w:tcPr>
          <w:p>
            <w:pPr>
              <w:spacing w:after="20" w:before="20"/>
              <w:jc w:val="left"/>
            </w:pPr>
            <w:r/>
            <w:r>
              <w:rPr>
                <w:rFonts w:ascii="Calibri" w:hAnsi="Calibri"/>
                <w:b w:val="0"/>
                <w:i w:val="0"/>
                <w:color w:val="1A1420"/>
                <w:sz w:val="17"/>
              </w:rPr>
              <w:t>confirmDelete</w:t>
            </w:r>
          </w:p>
        </w:tc>
        <w:tc>
          <w:tcPr>
            <w:tcW w:type="dxa" w:w="1300"/>
            <w:shd w:val="clear" w:color="auto" w:fill="EAF4FB"/>
          </w:tcPr>
          <w:p>
            <w:pPr>
              <w:spacing w:after="20" w:before="20"/>
              <w:jc w:val="center"/>
            </w:pPr>
            <w:r/>
            <w:r>
              <w:rPr>
                <w:rFonts w:ascii="Calibri" w:hAnsi="Calibri"/>
                <w:b w:val="0"/>
                <w:i w:val="0"/>
                <w:color w:val="1A1420"/>
                <w:sz w:val="17"/>
              </w:rPr>
              <w:t>2</w:t>
            </w:r>
          </w:p>
        </w:tc>
        <w:tc>
          <w:tcPr>
            <w:tcW w:type="dxa" w:w="1250"/>
            <w:shd w:val="clear" w:color="auto" w:fill="EAF4FB"/>
          </w:tcPr>
          <w:p>
            <w:pPr>
              <w:spacing w:after="20" w:before="20"/>
              <w:jc w:val="center"/>
            </w:pPr>
            <w:r/>
            <w:r>
              <w:rPr>
                <w:rFonts w:ascii="Calibri" w:hAnsi="Calibri"/>
                <w:b w:val="0"/>
                <w:i w:val="0"/>
                <w:color w:val="1A1420"/>
                <w:sz w:val="17"/>
              </w:rPr>
              <w:t>3</w:t>
            </w:r>
          </w:p>
        </w:tc>
        <w:tc>
          <w:tcPr>
            <w:tcW w:type="dxa" w:w="1200"/>
            <w:shd w:val="clear" w:color="auto" w:fill="EAF4FB"/>
          </w:tcPr>
          <w:p>
            <w:pPr>
              <w:spacing w:after="20" w:before="20"/>
              <w:jc w:val="center"/>
            </w:pPr>
            <w:r/>
            <w:r>
              <w:rPr>
                <w:rFonts w:ascii="Calibri" w:hAnsi="Calibri"/>
                <w:b w:val="0"/>
                <w:i w:val="0"/>
                <w:color w:val="1A1420"/>
                <w:sz w:val="17"/>
              </w:rPr>
              <w:t>Bajo</w:t>
            </w:r>
          </w:p>
        </w:tc>
      </w:tr>
      <w:tr>
        <w:tc>
          <w:tcPr>
            <w:tcW w:type="dxa" w:w="1500"/>
            <w:shd w:val="clear" w:color="auto" w:fill="EAF4FB"/>
          </w:tcPr>
          <w:p>
            <w:pPr>
              <w:spacing w:after="20" w:before="20"/>
              <w:jc w:val="left"/>
            </w:pPr>
            <w:r/>
            <w:r>
              <w:rPr>
                <w:rFonts w:ascii="Calibri" w:hAnsi="Calibri"/>
                <w:b/>
                <w:i w:val="0"/>
                <w:color w:val="1A1420"/>
                <w:sz w:val="17"/>
              </w:rPr>
              <w:t>Transferir</w:t>
            </w:r>
          </w:p>
        </w:tc>
        <w:tc>
          <w:tcPr>
            <w:tcW w:type="dxa" w:w="1050"/>
            <w:shd w:val="clear" w:color="auto" w:fill="EAF4FB"/>
          </w:tcPr>
          <w:p>
            <w:pPr>
              <w:spacing w:after="20" w:before="20"/>
              <w:jc w:val="center"/>
            </w:pPr>
            <w:r/>
            <w:r>
              <w:rPr>
                <w:rFonts w:ascii="Calibri" w:hAnsi="Calibri"/>
                <w:b w:val="0"/>
                <w:i w:val="0"/>
                <w:color w:val="1A1420"/>
                <w:sz w:val="17"/>
              </w:rPr>
              <w:t>Frontend</w:t>
            </w:r>
          </w:p>
        </w:tc>
        <w:tc>
          <w:tcPr>
            <w:tcW w:type="dxa" w:w="3060"/>
            <w:shd w:val="clear" w:color="auto" w:fill="EAF4FB"/>
          </w:tcPr>
          <w:p>
            <w:pPr>
              <w:spacing w:after="20" w:before="20"/>
              <w:jc w:val="left"/>
            </w:pPr>
            <w:r/>
            <w:r>
              <w:rPr>
                <w:rFonts w:ascii="Calibri" w:hAnsi="Calibri"/>
                <w:b w:val="0"/>
                <w:i w:val="0"/>
                <w:color w:val="1A1420"/>
                <w:sz w:val="17"/>
              </w:rPr>
              <w:t>handleTransfer</w:t>
            </w:r>
          </w:p>
        </w:tc>
        <w:tc>
          <w:tcPr>
            <w:tcW w:type="dxa" w:w="1300"/>
            <w:shd w:val="clear" w:color="auto" w:fill="EAF4FB"/>
          </w:tcPr>
          <w:p>
            <w:pPr>
              <w:spacing w:after="20" w:before="20"/>
              <w:jc w:val="center"/>
            </w:pPr>
            <w:r/>
            <w:r>
              <w:rPr>
                <w:rFonts w:ascii="Calibri" w:hAnsi="Calibri"/>
                <w:b w:val="0"/>
                <w:i w:val="0"/>
                <w:color w:val="1A1420"/>
                <w:sz w:val="17"/>
              </w:rPr>
              <w:t>2</w:t>
            </w:r>
          </w:p>
        </w:tc>
        <w:tc>
          <w:tcPr>
            <w:tcW w:type="dxa" w:w="1250"/>
            <w:shd w:val="clear" w:color="auto" w:fill="EAF4FB"/>
          </w:tcPr>
          <w:p>
            <w:pPr>
              <w:spacing w:after="20" w:before="20"/>
              <w:jc w:val="center"/>
            </w:pPr>
            <w:r/>
            <w:r>
              <w:rPr>
                <w:rFonts w:ascii="Calibri" w:hAnsi="Calibri"/>
                <w:b w:val="0"/>
                <w:i w:val="0"/>
                <w:color w:val="1A1420"/>
                <w:sz w:val="17"/>
              </w:rPr>
              <w:t>3</w:t>
            </w:r>
          </w:p>
        </w:tc>
        <w:tc>
          <w:tcPr>
            <w:tcW w:type="dxa" w:w="1200"/>
            <w:shd w:val="clear" w:color="auto" w:fill="EAF4FB"/>
          </w:tcPr>
          <w:p>
            <w:pPr>
              <w:spacing w:after="20" w:before="20"/>
              <w:jc w:val="center"/>
            </w:pPr>
            <w:r/>
            <w:r>
              <w:rPr>
                <w:rFonts w:ascii="Calibri" w:hAnsi="Calibri"/>
                <w:b w:val="0"/>
                <w:i w:val="0"/>
                <w:color w:val="1A1420"/>
                <w:sz w:val="17"/>
              </w:rPr>
              <w:t>Bajo</w:t>
            </w:r>
          </w:p>
        </w:tc>
      </w:tr>
    </w:tbl>
    <w:p>
      <w:pPr>
        <w:spacing w:after="40"/>
      </w:pPr>
    </w:p>
    <w:p>
      <w:pPr>
        <w:spacing w:after="120"/>
        <w:jc w:val="both"/>
      </w:pPr>
      <w:r>
        <w:rPr>
          <w:b w:val="0"/>
          <w:i w:val="0"/>
          <w:color w:val="1A1420"/>
          <w:sz w:val="21"/>
        </w:rPr>
        <w:t>Interpretación: UpdatePocket.execute tiene V(G) = 11 y supera el umbral de 10 (diap. 68 → alto riesgo). Concentra 10 decisiones porque combina validación de nombre y monto, verificación de propiedad y estado de la cuenta, ajuste de saldo reservado y notificación. Es la unidad candidata a dividirse en piezas más pequeñas. El resto se mantiene en rango bajo o moderado.</w:t>
      </w:r>
    </w:p>
    <w:p>
      <w:pPr>
        <w:pStyle w:val="Heading2"/>
      </w:pPr>
      <w:r>
        <w:t>4.2 Complejidad cognitiva</w:t>
      </w:r>
    </w:p>
    <w:p>
      <w:pPr>
        <w:spacing w:after="120"/>
        <w:jc w:val="left"/>
      </w:pPr>
      <w:r>
        <w:rPr>
          <w:b w:val="0"/>
          <w:i w:val="0"/>
          <w:color w:val="1A1420"/>
          <w:sz w:val="21"/>
        </w:rPr>
        <w:t>Definición (Clase 09, diap. 21-23): mide la dificultad para que una persona entienda el código. A diferencia de la ciclomática (que cuenta caminos), penaliza los anidamientos profundos, las condiciones compuestas y los saltos lógicos.</w:t>
      </w:r>
    </w:p>
    <w:p>
      <w:pPr>
        <w:spacing w:after="120"/>
        <w:jc w:val="left"/>
      </w:pPr>
      <w:r>
        <w:rPr>
          <w:b w:val="0"/>
          <w:i w:val="0"/>
          <w:color w:val="1A1420"/>
          <w:sz w:val="21"/>
        </w:rPr>
        <w:t>De dónde sale: se sumó +1 por cada decisión, +1 por cada operador lógico adicional en una condición compuesta y +1 extra por cada nivel de anidamiento. El caso más alto, UpdatePocket.execute, se descompone así:</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6360"/>
            <w:shd w:val="clear" w:color="auto" w:fill="820AD1"/>
          </w:tcPr>
          <w:p>
            <w:pPr>
              <w:spacing w:after="20" w:before="20"/>
              <w:jc w:val="center"/>
            </w:pPr>
            <w:r/>
            <w:r>
              <w:rPr>
                <w:rFonts w:ascii="Calibri" w:hAnsi="Calibri"/>
                <w:b/>
                <w:i w:val="0"/>
                <w:color w:val="FFFFFF"/>
                <w:sz w:val="18"/>
              </w:rPr>
              <w:t>Fragmento</w:t>
            </w:r>
          </w:p>
        </w:tc>
        <w:tc>
          <w:tcPr>
            <w:tcW w:type="dxa" w:w="3000"/>
            <w:shd w:val="clear" w:color="auto" w:fill="820AD1"/>
          </w:tcPr>
          <w:p>
            <w:pPr>
              <w:spacing w:after="20" w:before="20"/>
              <w:jc w:val="center"/>
            </w:pPr>
            <w:r/>
            <w:r>
              <w:rPr>
                <w:rFonts w:ascii="Calibri" w:hAnsi="Calibri"/>
                <w:b/>
                <w:i w:val="0"/>
                <w:color w:val="FFFFFF"/>
                <w:sz w:val="18"/>
              </w:rPr>
              <w:t>Incremento</w:t>
            </w:r>
          </w:p>
        </w:tc>
      </w:tr>
      <w:tr>
        <w:tc>
          <w:tcPr>
            <w:tcW w:type="dxa" w:w="6360"/>
          </w:tcPr>
          <w:p>
            <w:pPr>
              <w:spacing w:after="20" w:before="20"/>
              <w:jc w:val="left"/>
            </w:pPr>
            <w:r/>
            <w:r>
              <w:rPr>
                <w:rFonts w:ascii="Calibri" w:hAnsi="Calibri"/>
                <w:b/>
                <w:i w:val="0"/>
                <w:color w:val="1A1420"/>
                <w:sz w:val="18"/>
              </w:rPr>
              <w:t>if (name !== undefined &amp;&amp; !name.trim())</w:t>
            </w:r>
          </w:p>
        </w:tc>
        <w:tc>
          <w:tcPr>
            <w:tcW w:type="dxa" w:w="3000"/>
          </w:tcPr>
          <w:p>
            <w:pPr>
              <w:spacing w:after="20" w:before="20"/>
              <w:jc w:val="left"/>
            </w:pPr>
            <w:r/>
            <w:r>
              <w:rPr>
                <w:rFonts w:ascii="Calibri" w:hAnsi="Calibri"/>
                <w:b w:val="0"/>
                <w:i w:val="0"/>
                <w:color w:val="1A1420"/>
                <w:sz w:val="18"/>
              </w:rPr>
              <w:t>+2 (if + &amp;&amp;)</w:t>
            </w:r>
          </w:p>
        </w:tc>
      </w:tr>
      <w:tr>
        <w:tc>
          <w:tcPr>
            <w:tcW w:type="dxa" w:w="6360"/>
          </w:tcPr>
          <w:p>
            <w:pPr>
              <w:spacing w:after="20" w:before="20"/>
              <w:jc w:val="left"/>
            </w:pPr>
            <w:r/>
            <w:r>
              <w:rPr>
                <w:rFonts w:ascii="Calibri" w:hAnsi="Calibri"/>
                <w:b/>
                <w:i w:val="0"/>
                <w:color w:val="1A1420"/>
                <w:sz w:val="18"/>
              </w:rPr>
              <w:t>if (amount !== undefined &amp;&amp; amount &lt; 0)</w:t>
            </w:r>
          </w:p>
        </w:tc>
        <w:tc>
          <w:tcPr>
            <w:tcW w:type="dxa" w:w="3000"/>
          </w:tcPr>
          <w:p>
            <w:pPr>
              <w:spacing w:after="20" w:before="20"/>
              <w:jc w:val="left"/>
            </w:pPr>
            <w:r/>
            <w:r>
              <w:rPr>
                <w:rFonts w:ascii="Calibri" w:hAnsi="Calibri"/>
                <w:b w:val="0"/>
                <w:i w:val="0"/>
                <w:color w:val="1A1420"/>
                <w:sz w:val="18"/>
              </w:rPr>
              <w:t>+2</w:t>
            </w:r>
          </w:p>
        </w:tc>
      </w:tr>
      <w:tr>
        <w:tc>
          <w:tcPr>
            <w:tcW w:type="dxa" w:w="6360"/>
          </w:tcPr>
          <w:p>
            <w:pPr>
              <w:spacing w:after="20" w:before="20"/>
              <w:jc w:val="left"/>
            </w:pPr>
            <w:r/>
            <w:r>
              <w:rPr>
                <w:rFonts w:ascii="Calibri" w:hAnsi="Calibri"/>
                <w:b/>
                <w:i w:val="0"/>
                <w:color w:val="1A1420"/>
                <w:sz w:val="18"/>
              </w:rPr>
              <w:t>if (!pocket)  /  if (!account)  /  if (!isOperational)</w:t>
            </w:r>
          </w:p>
        </w:tc>
        <w:tc>
          <w:tcPr>
            <w:tcW w:type="dxa" w:w="3000"/>
          </w:tcPr>
          <w:p>
            <w:pPr>
              <w:spacing w:after="20" w:before="20"/>
              <w:jc w:val="left"/>
            </w:pPr>
            <w:r/>
            <w:r>
              <w:rPr>
                <w:rFonts w:ascii="Calibri" w:hAnsi="Calibri"/>
                <w:b w:val="0"/>
                <w:i w:val="0"/>
                <w:color w:val="1A1420"/>
                <w:sz w:val="18"/>
              </w:rPr>
              <w:t>+1 cada uno (+3)</w:t>
            </w:r>
          </w:p>
        </w:tc>
      </w:tr>
      <w:tr>
        <w:tc>
          <w:tcPr>
            <w:tcW w:type="dxa" w:w="6360"/>
          </w:tcPr>
          <w:p>
            <w:pPr>
              <w:spacing w:after="20" w:before="20"/>
              <w:jc w:val="left"/>
            </w:pPr>
            <w:r/>
            <w:r>
              <w:rPr>
                <w:rFonts w:ascii="Calibri" w:hAnsi="Calibri"/>
                <w:b/>
                <w:i w:val="0"/>
                <w:color w:val="1A1420"/>
                <w:sz w:val="18"/>
              </w:rPr>
              <w:t>if (amount !== undefined &amp;&amp; amount !== pocket.amount)  →  abre anidamiento</w:t>
            </w:r>
          </w:p>
        </w:tc>
        <w:tc>
          <w:tcPr>
            <w:tcW w:type="dxa" w:w="3000"/>
          </w:tcPr>
          <w:p>
            <w:pPr>
              <w:spacing w:after="20" w:before="20"/>
              <w:jc w:val="left"/>
            </w:pPr>
            <w:r/>
            <w:r>
              <w:rPr>
                <w:rFonts w:ascii="Calibri" w:hAnsi="Calibri"/>
                <w:b w:val="0"/>
                <w:i w:val="0"/>
                <w:color w:val="1A1420"/>
                <w:sz w:val="18"/>
              </w:rPr>
              <w:t>+2</w:t>
            </w:r>
          </w:p>
        </w:tc>
      </w:tr>
      <w:tr>
        <w:tc>
          <w:tcPr>
            <w:tcW w:type="dxa" w:w="6360"/>
          </w:tcPr>
          <w:p>
            <w:pPr>
              <w:spacing w:after="20" w:before="20"/>
              <w:jc w:val="left"/>
            </w:pPr>
            <w:r/>
            <w:r>
              <w:rPr>
                <w:rFonts w:ascii="Calibri" w:hAnsi="Calibri"/>
                <w:b/>
                <w:i w:val="0"/>
                <w:color w:val="1A1420"/>
                <w:sz w:val="18"/>
              </w:rPr>
              <w:t>if (newReservedTotal &gt; account.balance + totalReserved)  (anidado)</w:t>
            </w:r>
          </w:p>
        </w:tc>
        <w:tc>
          <w:tcPr>
            <w:tcW w:type="dxa" w:w="3000"/>
          </w:tcPr>
          <w:p>
            <w:pPr>
              <w:spacing w:after="20" w:before="20"/>
              <w:jc w:val="left"/>
            </w:pPr>
            <w:r/>
            <w:r>
              <w:rPr>
                <w:rFonts w:ascii="Calibri" w:hAnsi="Calibri"/>
                <w:b w:val="0"/>
                <w:i w:val="0"/>
                <w:color w:val="1A1420"/>
                <w:sz w:val="18"/>
              </w:rPr>
              <w:t>+2 (+1 base, +1 anidamiento)</w:t>
            </w:r>
          </w:p>
        </w:tc>
      </w:tr>
      <w:tr>
        <w:tc>
          <w:tcPr>
            <w:tcW w:type="dxa" w:w="6360"/>
          </w:tcPr>
          <w:p>
            <w:pPr>
              <w:spacing w:after="20" w:before="20"/>
              <w:jc w:val="left"/>
            </w:pPr>
            <w:r/>
            <w:r>
              <w:rPr>
                <w:rFonts w:ascii="Calibri" w:hAnsi="Calibri"/>
                <w:b/>
                <w:i w:val="0"/>
                <w:color w:val="1A1420"/>
                <w:sz w:val="18"/>
              </w:rPr>
              <w:t>if (name !== undefined &amp;&amp; name !== pocket.name)</w:t>
            </w:r>
          </w:p>
        </w:tc>
        <w:tc>
          <w:tcPr>
            <w:tcW w:type="dxa" w:w="3000"/>
          </w:tcPr>
          <w:p>
            <w:pPr>
              <w:spacing w:after="20" w:before="20"/>
              <w:jc w:val="left"/>
            </w:pPr>
            <w:r/>
            <w:r>
              <w:rPr>
                <w:rFonts w:ascii="Calibri" w:hAnsi="Calibri"/>
                <w:b w:val="0"/>
                <w:i w:val="0"/>
                <w:color w:val="1A1420"/>
                <w:sz w:val="18"/>
              </w:rPr>
              <w:t>+2</w:t>
            </w:r>
          </w:p>
        </w:tc>
      </w:tr>
      <w:tr>
        <w:tc>
          <w:tcPr>
            <w:tcW w:type="dxa" w:w="6360"/>
          </w:tcPr>
          <w:p>
            <w:pPr>
              <w:spacing w:after="20" w:before="20"/>
              <w:jc w:val="left"/>
            </w:pPr>
            <w:r/>
            <w:r>
              <w:rPr>
                <w:rFonts w:ascii="Calibri" w:hAnsi="Calibri"/>
                <w:b/>
                <w:i w:val="0"/>
                <w:color w:val="1A1420"/>
                <w:sz w:val="18"/>
              </w:rPr>
              <w:t>if (amount === undefined &amp;&amp; name === undefined)</w:t>
            </w:r>
          </w:p>
        </w:tc>
        <w:tc>
          <w:tcPr>
            <w:tcW w:type="dxa" w:w="3000"/>
          </w:tcPr>
          <w:p>
            <w:pPr>
              <w:spacing w:after="20" w:before="20"/>
              <w:jc w:val="left"/>
            </w:pPr>
            <w:r/>
            <w:r>
              <w:rPr>
                <w:rFonts w:ascii="Calibri" w:hAnsi="Calibri"/>
                <w:b w:val="0"/>
                <w:i w:val="0"/>
                <w:color w:val="1A1420"/>
                <w:sz w:val="18"/>
              </w:rPr>
              <w:t>+2</w:t>
            </w:r>
          </w:p>
        </w:tc>
      </w:tr>
      <w:tr>
        <w:tc>
          <w:tcPr>
            <w:tcW w:type="dxa" w:w="6360"/>
          </w:tcPr>
          <w:p>
            <w:pPr>
              <w:spacing w:after="20" w:before="20"/>
              <w:jc w:val="left"/>
            </w:pPr>
            <w:r/>
            <w:r>
              <w:rPr>
                <w:rFonts w:ascii="Calibri" w:hAnsi="Calibri"/>
                <w:b/>
                <w:i w:val="0"/>
                <w:color w:val="1A1420"/>
                <w:sz w:val="18"/>
              </w:rPr>
              <w:t>if (this.notificationRepository)</w:t>
            </w:r>
          </w:p>
        </w:tc>
        <w:tc>
          <w:tcPr>
            <w:tcW w:type="dxa" w:w="3000"/>
          </w:tcPr>
          <w:p>
            <w:pPr>
              <w:spacing w:after="20" w:before="20"/>
              <w:jc w:val="left"/>
            </w:pPr>
            <w:r/>
            <w:r>
              <w:rPr>
                <w:rFonts w:ascii="Calibri" w:hAnsi="Calibri"/>
                <w:b w:val="0"/>
                <w:i w:val="0"/>
                <w:color w:val="1A1420"/>
                <w:sz w:val="18"/>
              </w:rPr>
              <w:t>+1</w:t>
            </w:r>
          </w:p>
        </w:tc>
      </w:tr>
      <w:tr>
        <w:tc>
          <w:tcPr>
            <w:tcW w:type="dxa" w:w="6360"/>
            <w:shd w:val="clear" w:color="auto" w:fill="E6E1EC"/>
          </w:tcPr>
          <w:p>
            <w:pPr>
              <w:spacing w:after="20" w:before="20"/>
              <w:jc w:val="left"/>
            </w:pPr>
            <w:r/>
            <w:r>
              <w:rPr>
                <w:rFonts w:ascii="Calibri" w:hAnsi="Calibri"/>
                <w:b/>
                <w:i w:val="0"/>
                <w:color w:val="1A1420"/>
                <w:sz w:val="18"/>
              </w:rPr>
              <w:t>Total</w:t>
            </w:r>
          </w:p>
        </w:tc>
        <w:tc>
          <w:tcPr>
            <w:tcW w:type="dxa" w:w="3000"/>
            <w:shd w:val="clear" w:color="auto" w:fill="FBE0E6"/>
          </w:tcPr>
          <w:p>
            <w:pPr>
              <w:spacing w:after="20" w:before="20"/>
              <w:jc w:val="left"/>
            </w:pPr>
            <w:r/>
            <w:r>
              <w:rPr>
                <w:rFonts w:ascii="Calibri" w:hAnsi="Calibri"/>
                <w:b w:val="0"/>
                <w:i w:val="0"/>
                <w:color w:val="1A1420"/>
                <w:sz w:val="18"/>
              </w:rPr>
              <w:t>16 → Crítica (&gt; 15)</w:t>
            </w:r>
          </w:p>
        </w:tc>
      </w:tr>
    </w:tbl>
    <w:p>
      <w:pPr>
        <w:spacing w:after="40"/>
      </w:pPr>
    </w:p>
    <w:p>
      <w:pPr>
        <w:spacing w:after="120"/>
        <w:jc w:val="left"/>
      </w:pPr>
      <w:r>
        <w:rPr>
          <w:b w:val="0"/>
          <w:i w:val="0"/>
          <w:color w:val="1A1420"/>
          <w:sz w:val="21"/>
        </w:rPr>
        <w:t>El resto de unidades queda en nivel Bajo o Moderado: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820AD1"/>
          </w:tcPr>
          <w:p>
            <w:pPr>
              <w:spacing w:after="20" w:before="20"/>
              <w:jc w:val="center"/>
            </w:pPr>
            <w:r/>
            <w:r>
              <w:rPr>
                <w:rFonts w:ascii="Calibri" w:hAnsi="Calibri"/>
                <w:b/>
                <w:i w:val="0"/>
                <w:color w:val="FFFFFF"/>
                <w:sz w:val="18"/>
              </w:rPr>
              <w:t>Funcionalidad</w:t>
            </w:r>
          </w:p>
        </w:tc>
        <w:tc>
          <w:tcPr>
            <w:tcW w:type="dxa" w:w="3120"/>
            <w:shd w:val="clear" w:color="auto" w:fill="820AD1"/>
          </w:tcPr>
          <w:p>
            <w:pPr>
              <w:spacing w:after="20" w:before="20"/>
              <w:jc w:val="center"/>
            </w:pPr>
            <w:r/>
            <w:r>
              <w:rPr>
                <w:rFonts w:ascii="Calibri" w:hAnsi="Calibri"/>
                <w:b/>
                <w:i w:val="0"/>
                <w:color w:val="FFFFFF"/>
                <w:sz w:val="18"/>
              </w:rPr>
              <w:t>Backend (nivel)</w:t>
            </w:r>
          </w:p>
        </w:tc>
        <w:tc>
          <w:tcPr>
            <w:tcW w:type="dxa" w:w="3120"/>
            <w:shd w:val="clear" w:color="auto" w:fill="820AD1"/>
          </w:tcPr>
          <w:p>
            <w:pPr>
              <w:spacing w:after="20" w:before="20"/>
              <w:jc w:val="center"/>
            </w:pPr>
            <w:r/>
            <w:r>
              <w:rPr>
                <w:rFonts w:ascii="Calibri" w:hAnsi="Calibri"/>
                <w:b/>
                <w:i w:val="0"/>
                <w:color w:val="FFFFFF"/>
                <w:sz w:val="18"/>
              </w:rPr>
              <w:t>Frontend (nivel)</w:t>
            </w:r>
          </w:p>
        </w:tc>
      </w:tr>
      <w:tr>
        <w:tc>
          <w:tcPr>
            <w:tcW w:type="dxa" w:w="3120"/>
          </w:tcPr>
          <w:p>
            <w:pPr>
              <w:spacing w:after="20" w:before="20"/>
              <w:jc w:val="left"/>
            </w:pPr>
            <w:r/>
            <w:r>
              <w:rPr>
                <w:rFonts w:ascii="Calibri" w:hAnsi="Calibri"/>
                <w:b/>
                <w:i w:val="0"/>
                <w:color w:val="1A1420"/>
                <w:sz w:val="19"/>
              </w:rPr>
              <w:t>Crear</w:t>
            </w:r>
          </w:p>
        </w:tc>
        <w:tc>
          <w:tcPr>
            <w:tcW w:type="dxa" w:w="3120"/>
          </w:tcPr>
          <w:p>
            <w:pPr>
              <w:spacing w:after="20" w:before="20"/>
              <w:jc w:val="center"/>
            </w:pPr>
            <w:r/>
            <w:r>
              <w:rPr>
                <w:rFonts w:ascii="Calibri" w:hAnsi="Calibri"/>
                <w:b w:val="0"/>
                <w:i w:val="0"/>
                <w:color w:val="1A1420"/>
                <w:sz w:val="19"/>
              </w:rPr>
              <w:t>5 — Baja</w:t>
            </w:r>
          </w:p>
        </w:tc>
        <w:tc>
          <w:tcPr>
            <w:tcW w:type="dxa" w:w="3120"/>
          </w:tcPr>
          <w:p>
            <w:pPr>
              <w:spacing w:after="20" w:before="20"/>
              <w:jc w:val="center"/>
            </w:pPr>
            <w:r/>
            <w:r>
              <w:rPr>
                <w:rFonts w:ascii="Calibri" w:hAnsi="Calibri"/>
                <w:b w:val="0"/>
                <w:i w:val="0"/>
                <w:color w:val="1A1420"/>
                <w:sz w:val="19"/>
              </w:rPr>
              <w:t>3 — Baja</w:t>
            </w:r>
          </w:p>
        </w:tc>
      </w:tr>
      <w:tr>
        <w:tc>
          <w:tcPr>
            <w:tcW w:type="dxa" w:w="3120"/>
          </w:tcPr>
          <w:p>
            <w:pPr>
              <w:spacing w:after="20" w:before="20"/>
              <w:jc w:val="left"/>
            </w:pPr>
            <w:r/>
            <w:r>
              <w:rPr>
                <w:rFonts w:ascii="Calibri" w:hAnsi="Calibri"/>
                <w:b/>
                <w:i w:val="0"/>
                <w:color w:val="1A1420"/>
                <w:sz w:val="19"/>
              </w:rPr>
              <w:t>Consultar</w:t>
            </w:r>
          </w:p>
        </w:tc>
        <w:tc>
          <w:tcPr>
            <w:tcW w:type="dxa" w:w="3120"/>
          </w:tcPr>
          <w:p>
            <w:pPr>
              <w:spacing w:after="20" w:before="20"/>
              <w:jc w:val="center"/>
            </w:pPr>
            <w:r/>
            <w:r>
              <w:rPr>
                <w:rFonts w:ascii="Calibri" w:hAnsi="Calibri"/>
                <w:b w:val="0"/>
                <w:i w:val="0"/>
                <w:color w:val="1A1420"/>
                <w:sz w:val="19"/>
              </w:rPr>
              <w:t>1 — Baja</w:t>
            </w:r>
          </w:p>
        </w:tc>
        <w:tc>
          <w:tcPr>
            <w:tcW w:type="dxa" w:w="3120"/>
          </w:tcPr>
          <w:p>
            <w:pPr>
              <w:spacing w:after="20" w:before="20"/>
              <w:jc w:val="center"/>
            </w:pPr>
            <w:r/>
            <w:r>
              <w:rPr>
                <w:rFonts w:ascii="Calibri" w:hAnsi="Calibri"/>
                <w:b w:val="0"/>
                <w:i w:val="0"/>
                <w:color w:val="1A1420"/>
                <w:sz w:val="19"/>
              </w:rPr>
              <w:t>1 — Baja</w:t>
            </w:r>
          </w:p>
        </w:tc>
      </w:tr>
      <w:tr>
        <w:tc>
          <w:tcPr>
            <w:tcW w:type="dxa" w:w="3120"/>
          </w:tcPr>
          <w:p>
            <w:pPr>
              <w:spacing w:after="20" w:before="20"/>
              <w:jc w:val="left"/>
            </w:pPr>
            <w:r/>
            <w:r>
              <w:rPr>
                <w:rFonts w:ascii="Calibri" w:hAnsi="Calibri"/>
                <w:b/>
                <w:i w:val="0"/>
                <w:color w:val="1A1420"/>
                <w:sz w:val="19"/>
              </w:rPr>
              <w:t>Actualizar</w:t>
            </w:r>
          </w:p>
        </w:tc>
        <w:tc>
          <w:tcPr>
            <w:tcW w:type="dxa" w:w="3120"/>
            <w:shd w:val="clear" w:color="auto" w:fill="FBE0E6"/>
          </w:tcPr>
          <w:p>
            <w:pPr>
              <w:spacing w:after="20" w:before="20"/>
              <w:jc w:val="center"/>
            </w:pPr>
            <w:r/>
            <w:r>
              <w:rPr>
                <w:rFonts w:ascii="Calibri" w:hAnsi="Calibri"/>
                <w:b w:val="0"/>
                <w:i w:val="0"/>
                <w:color w:val="1A1420"/>
                <w:sz w:val="19"/>
              </w:rPr>
              <w:t>16 — Crítica</w:t>
            </w:r>
          </w:p>
        </w:tc>
        <w:tc>
          <w:tcPr>
            <w:tcW w:type="dxa" w:w="3120"/>
          </w:tcPr>
          <w:p>
            <w:pPr>
              <w:spacing w:after="20" w:before="20"/>
              <w:jc w:val="center"/>
            </w:pPr>
            <w:r/>
            <w:r>
              <w:rPr>
                <w:rFonts w:ascii="Calibri" w:hAnsi="Calibri"/>
                <w:b w:val="0"/>
                <w:i w:val="0"/>
                <w:color w:val="1A1420"/>
                <w:sz w:val="19"/>
              </w:rPr>
              <w:t>2 — Baja</w:t>
            </w:r>
          </w:p>
        </w:tc>
      </w:tr>
      <w:tr>
        <w:tc>
          <w:tcPr>
            <w:tcW w:type="dxa" w:w="3120"/>
          </w:tcPr>
          <w:p>
            <w:pPr>
              <w:spacing w:after="20" w:before="20"/>
              <w:jc w:val="left"/>
            </w:pPr>
            <w:r/>
            <w:r>
              <w:rPr>
                <w:rFonts w:ascii="Calibri" w:hAnsi="Calibri"/>
                <w:b/>
                <w:i w:val="0"/>
                <w:color w:val="1A1420"/>
                <w:sz w:val="19"/>
              </w:rPr>
              <w:t>Eliminar</w:t>
            </w:r>
          </w:p>
        </w:tc>
        <w:tc>
          <w:tcPr>
            <w:tcW w:type="dxa" w:w="3120"/>
          </w:tcPr>
          <w:p>
            <w:pPr>
              <w:spacing w:after="20" w:before="20"/>
              <w:jc w:val="center"/>
            </w:pPr>
            <w:r/>
            <w:r>
              <w:rPr>
                <w:rFonts w:ascii="Calibri" w:hAnsi="Calibri"/>
                <w:b w:val="0"/>
                <w:i w:val="0"/>
                <w:color w:val="1A1420"/>
                <w:sz w:val="19"/>
              </w:rPr>
              <w:t>4 — Baja</w:t>
            </w:r>
          </w:p>
        </w:tc>
        <w:tc>
          <w:tcPr>
            <w:tcW w:type="dxa" w:w="3120"/>
          </w:tcPr>
          <w:p>
            <w:pPr>
              <w:spacing w:after="20" w:before="20"/>
              <w:jc w:val="center"/>
            </w:pPr>
            <w:r/>
            <w:r>
              <w:rPr>
                <w:rFonts w:ascii="Calibri" w:hAnsi="Calibri"/>
                <w:b w:val="0"/>
                <w:i w:val="0"/>
                <w:color w:val="1A1420"/>
                <w:sz w:val="19"/>
              </w:rPr>
              <w:t>2 — Baja</w:t>
            </w:r>
          </w:p>
        </w:tc>
      </w:tr>
      <w:tr>
        <w:tc>
          <w:tcPr>
            <w:tcW w:type="dxa" w:w="3120"/>
          </w:tcPr>
          <w:p>
            <w:pPr>
              <w:spacing w:after="20" w:before="20"/>
              <w:jc w:val="left"/>
            </w:pPr>
            <w:r/>
            <w:r>
              <w:rPr>
                <w:rFonts w:ascii="Calibri" w:hAnsi="Calibri"/>
                <w:b/>
                <w:i w:val="0"/>
                <w:color w:val="1A1420"/>
                <w:sz w:val="19"/>
              </w:rPr>
              <w:t>Transferir</w:t>
            </w:r>
          </w:p>
        </w:tc>
        <w:tc>
          <w:tcPr>
            <w:tcW w:type="dxa" w:w="3120"/>
          </w:tcPr>
          <w:p>
            <w:pPr>
              <w:spacing w:after="20" w:before="20"/>
              <w:jc w:val="center"/>
            </w:pPr>
            <w:r/>
            <w:r>
              <w:rPr>
                <w:rFonts w:ascii="Calibri" w:hAnsi="Calibri"/>
                <w:b w:val="0"/>
                <w:i w:val="0"/>
                <w:color w:val="1A1420"/>
                <w:sz w:val="19"/>
              </w:rPr>
              <w:t>9 — Moderada</w:t>
            </w:r>
          </w:p>
        </w:tc>
        <w:tc>
          <w:tcPr>
            <w:tcW w:type="dxa" w:w="3120"/>
          </w:tcPr>
          <w:p>
            <w:pPr>
              <w:spacing w:after="20" w:before="20"/>
              <w:jc w:val="center"/>
            </w:pPr>
            <w:r/>
            <w:r>
              <w:rPr>
                <w:rFonts w:ascii="Calibri" w:hAnsi="Calibri"/>
                <w:b w:val="0"/>
                <w:i w:val="0"/>
                <w:color w:val="1A1420"/>
                <w:sz w:val="19"/>
              </w:rPr>
              <w:t>3 — Baja</w:t>
            </w:r>
          </w:p>
        </w:tc>
      </w:tr>
    </w:tbl>
    <w:p>
      <w:pPr>
        <w:spacing w:after="40"/>
      </w:pPr>
    </w:p>
    <w:p>
      <w:pPr>
        <w:spacing w:after="120"/>
        <w:jc w:val="both"/>
      </w:pPr>
      <w:r>
        <w:rPr>
          <w:b w:val="0"/>
          <w:i w:val="0"/>
          <w:color w:val="1A1420"/>
          <w:sz w:val="21"/>
        </w:rPr>
        <w:t>Interpretación (escala diap. 23): 0–5 Baja, 6–10 Moderada, 11–15 Alta, &gt; 15 Crítica. UpdatePocket con 16 cae en Crítica → la recomendación es refactorizar (diap. 68). Los handlers del frontend son todos de baja complejidad cognitiva: su estructura try/catch/finally es uniforme y fácil de leer.</w:t>
      </w:r>
    </w:p>
    <w:p>
      <w:pPr>
        <w:pStyle w:val="Heading2"/>
      </w:pPr>
      <w:r>
        <w:t>4.3 Cobertura de caminos (frontend, caja blanca)</w:t>
      </w:r>
    </w:p>
    <w:p>
      <w:pPr>
        <w:spacing w:after="120"/>
        <w:jc w:val="left"/>
      </w:pPr>
      <w:r>
        <w:rPr>
          <w:b w:val="0"/>
          <w:i w:val="0"/>
          <w:color w:val="1A1420"/>
          <w:sz w:val="21"/>
        </w:rPr>
        <w:t>Definición: proporción de caminos independientes del grafo de flujo que las pruebas recorren. Cada handler del frontend se modeló como el grafo de la hoja correspondiente de Frontend.drawio, y se escribió un caso por cada camino base (el número de caminos base coincide con V(G)).</w:t>
      </w:r>
    </w:p>
    <w:p>
      <w:pPr>
        <w:spacing w:before="40" w:after="120"/>
        <w:ind w:left="360"/>
      </w:pPr>
      <w:r>
        <w:rPr>
          <w:rFonts w:ascii="Consolas" w:hAnsi="Consolas"/>
          <w:b/>
          <w:color w:val="5E0A99"/>
          <w:sz w:val="21"/>
        </w:rPr>
        <w:t xml:space="preserve">  Cobertura de caminos = Caminos cubiertos / V(G)  </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50"/>
            <w:shd w:val="clear" w:color="auto" w:fill="820AD1"/>
          </w:tcPr>
          <w:p>
            <w:pPr>
              <w:spacing w:after="20" w:before="20"/>
              <w:jc w:val="center"/>
            </w:pPr>
            <w:r/>
            <w:r>
              <w:rPr>
                <w:rFonts w:ascii="Calibri" w:hAnsi="Calibri"/>
                <w:b/>
                <w:i w:val="0"/>
                <w:color w:val="FFFFFF"/>
                <w:sz w:val="18"/>
              </w:rPr>
              <w:t>Funcionalidad</w:t>
            </w:r>
          </w:p>
        </w:tc>
        <w:tc>
          <w:tcPr>
            <w:tcW w:type="dxa" w:w="1550"/>
            <w:shd w:val="clear" w:color="auto" w:fill="820AD1"/>
          </w:tcPr>
          <w:p>
            <w:pPr>
              <w:spacing w:after="20" w:before="20"/>
              <w:jc w:val="center"/>
            </w:pPr>
            <w:r/>
            <w:r>
              <w:rPr>
                <w:rFonts w:ascii="Calibri" w:hAnsi="Calibri"/>
                <w:b/>
                <w:i w:val="0"/>
                <w:color w:val="FFFFFF"/>
                <w:sz w:val="18"/>
              </w:rPr>
              <w:t>Handler</w:t>
            </w:r>
          </w:p>
        </w:tc>
        <w:tc>
          <w:tcPr>
            <w:tcW w:type="dxa" w:w="750"/>
            <w:shd w:val="clear" w:color="auto" w:fill="820AD1"/>
          </w:tcPr>
          <w:p>
            <w:pPr>
              <w:spacing w:after="20" w:before="20"/>
              <w:jc w:val="center"/>
            </w:pPr>
            <w:r/>
            <w:r>
              <w:rPr>
                <w:rFonts w:ascii="Calibri" w:hAnsi="Calibri"/>
                <w:b/>
                <w:i w:val="0"/>
                <w:color w:val="FFFFFF"/>
                <w:sz w:val="18"/>
              </w:rPr>
              <w:t>V(G)</w:t>
            </w:r>
          </w:p>
        </w:tc>
        <w:tc>
          <w:tcPr>
            <w:tcW w:type="dxa" w:w="1150"/>
            <w:shd w:val="clear" w:color="auto" w:fill="820AD1"/>
          </w:tcPr>
          <w:p>
            <w:pPr>
              <w:spacing w:after="20" w:before="20"/>
              <w:jc w:val="center"/>
            </w:pPr>
            <w:r/>
            <w:r>
              <w:rPr>
                <w:rFonts w:ascii="Calibri" w:hAnsi="Calibri"/>
                <w:b/>
                <w:i w:val="0"/>
                <w:color w:val="FFFFFF"/>
                <w:sz w:val="18"/>
              </w:rPr>
              <w:t>Caminos base</w:t>
            </w:r>
          </w:p>
        </w:tc>
        <w:tc>
          <w:tcPr>
            <w:tcW w:type="dxa" w:w="1050"/>
            <w:shd w:val="clear" w:color="auto" w:fill="820AD1"/>
          </w:tcPr>
          <w:p>
            <w:pPr>
              <w:spacing w:after="20" w:before="20"/>
              <w:jc w:val="center"/>
            </w:pPr>
            <w:r/>
            <w:r>
              <w:rPr>
                <w:rFonts w:ascii="Calibri" w:hAnsi="Calibri"/>
                <w:b/>
                <w:i w:val="0"/>
                <w:color w:val="FFFFFF"/>
                <w:sz w:val="18"/>
              </w:rPr>
              <w:t>Cubiertos</w:t>
            </w:r>
          </w:p>
        </w:tc>
        <w:tc>
          <w:tcPr>
            <w:tcW w:type="dxa" w:w="1050"/>
            <w:shd w:val="clear" w:color="auto" w:fill="820AD1"/>
          </w:tcPr>
          <w:p>
            <w:pPr>
              <w:spacing w:after="20" w:before="20"/>
              <w:jc w:val="center"/>
            </w:pPr>
            <w:r/>
            <w:r>
              <w:rPr>
                <w:rFonts w:ascii="Calibri" w:hAnsi="Calibri"/>
                <w:b/>
                <w:i w:val="0"/>
                <w:color w:val="FFFFFF"/>
                <w:sz w:val="18"/>
              </w:rPr>
              <w:t>Cobertura</w:t>
            </w:r>
          </w:p>
        </w:tc>
        <w:tc>
          <w:tcPr>
            <w:tcW w:type="dxa" w:w="2460"/>
            <w:shd w:val="clear" w:color="auto" w:fill="820AD1"/>
          </w:tcPr>
          <w:p>
            <w:pPr>
              <w:spacing w:after="20" w:before="20"/>
              <w:jc w:val="center"/>
            </w:pPr>
            <w:r/>
            <w:r>
              <w:rPr>
                <w:rFonts w:ascii="Calibri" w:hAnsi="Calibri"/>
                <w:b/>
                <w:i w:val="0"/>
                <w:color w:val="FFFFFF"/>
                <w:sz w:val="18"/>
              </w:rPr>
              <w:t>Cobertura de condición</w:t>
            </w:r>
          </w:p>
        </w:tc>
      </w:tr>
      <w:tr>
        <w:tc>
          <w:tcPr>
            <w:tcW w:type="dxa" w:w="1350"/>
            <w:shd w:val="clear" w:color="auto" w:fill="EAF4FB"/>
          </w:tcPr>
          <w:p>
            <w:pPr>
              <w:spacing w:after="20" w:before="20"/>
              <w:jc w:val="left"/>
            </w:pPr>
            <w:r/>
            <w:r>
              <w:rPr>
                <w:rFonts w:ascii="Calibri" w:hAnsi="Calibri"/>
                <w:b/>
                <w:i w:val="0"/>
                <w:color w:val="1A1420"/>
                <w:sz w:val="17"/>
              </w:rPr>
              <w:t>Crear</w:t>
            </w:r>
          </w:p>
        </w:tc>
        <w:tc>
          <w:tcPr>
            <w:tcW w:type="dxa" w:w="1550"/>
            <w:shd w:val="clear" w:color="auto" w:fill="EAF4FB"/>
          </w:tcPr>
          <w:p>
            <w:pPr>
              <w:spacing w:after="20" w:before="20"/>
              <w:jc w:val="left"/>
            </w:pPr>
            <w:r/>
            <w:r>
              <w:rPr>
                <w:rFonts w:ascii="Calibri" w:hAnsi="Calibri"/>
                <w:b w:val="0"/>
                <w:i w:val="0"/>
                <w:color w:val="1A1420"/>
                <w:sz w:val="17"/>
              </w:rPr>
              <w:t>handleCreate</w:t>
            </w:r>
          </w:p>
        </w:tc>
        <w:tc>
          <w:tcPr>
            <w:tcW w:type="dxa" w:w="750"/>
            <w:shd w:val="clear" w:color="auto" w:fill="EAF4FB"/>
          </w:tcPr>
          <w:p>
            <w:pPr>
              <w:spacing w:after="20" w:before="20"/>
              <w:jc w:val="center"/>
            </w:pPr>
            <w:r/>
            <w:r>
              <w:rPr>
                <w:rFonts w:ascii="Calibri" w:hAnsi="Calibri"/>
                <w:b w:val="0"/>
                <w:i w:val="0"/>
                <w:color w:val="1A1420"/>
                <w:sz w:val="17"/>
              </w:rPr>
              <w:t>3</w:t>
            </w:r>
          </w:p>
        </w:tc>
        <w:tc>
          <w:tcPr>
            <w:tcW w:type="dxa" w:w="11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100 %</w:t>
            </w:r>
          </w:p>
        </w:tc>
        <w:tc>
          <w:tcPr>
            <w:tcW w:type="dxa" w:w="2460"/>
            <w:shd w:val="clear" w:color="auto" w:fill="EAF4FB"/>
          </w:tcPr>
          <w:p>
            <w:pPr>
              <w:spacing w:after="20" w:before="20"/>
              <w:jc w:val="left"/>
            </w:pPr>
            <w:r/>
            <w:r>
              <w:rPr>
                <w:rFonts w:ascii="Calibri" w:hAnsi="Calibri"/>
                <w:b w:val="0"/>
                <w:i w:val="0"/>
                <w:color w:val="1A1420"/>
                <w:sz w:val="17"/>
              </w:rPr>
              <w:t>100 % (OR de 2 cláusulas, ambas probadas)</w:t>
            </w:r>
          </w:p>
        </w:tc>
      </w:tr>
      <w:tr>
        <w:tc>
          <w:tcPr>
            <w:tcW w:type="dxa" w:w="1350"/>
            <w:shd w:val="clear" w:color="auto" w:fill="EAF4FB"/>
          </w:tcPr>
          <w:p>
            <w:pPr>
              <w:spacing w:after="20" w:before="20"/>
              <w:jc w:val="left"/>
            </w:pPr>
            <w:r/>
            <w:r>
              <w:rPr>
                <w:rFonts w:ascii="Calibri" w:hAnsi="Calibri"/>
                <w:b/>
                <w:i w:val="0"/>
                <w:color w:val="1A1420"/>
                <w:sz w:val="17"/>
              </w:rPr>
              <w:t>Consultar</w:t>
            </w:r>
          </w:p>
        </w:tc>
        <w:tc>
          <w:tcPr>
            <w:tcW w:type="dxa" w:w="1550"/>
            <w:shd w:val="clear" w:color="auto" w:fill="EAF4FB"/>
          </w:tcPr>
          <w:p>
            <w:pPr>
              <w:spacing w:after="20" w:before="20"/>
              <w:jc w:val="left"/>
            </w:pPr>
            <w:r/>
            <w:r>
              <w:rPr>
                <w:rFonts w:ascii="Calibri" w:hAnsi="Calibri"/>
                <w:b w:val="0"/>
                <w:i w:val="0"/>
                <w:color w:val="1A1420"/>
                <w:sz w:val="17"/>
              </w:rPr>
              <w:t>loadPockets</w:t>
            </w:r>
          </w:p>
        </w:tc>
        <w:tc>
          <w:tcPr>
            <w:tcW w:type="dxa" w:w="750"/>
            <w:shd w:val="clear" w:color="auto" w:fill="EAF4FB"/>
          </w:tcPr>
          <w:p>
            <w:pPr>
              <w:spacing w:after="20" w:before="20"/>
              <w:jc w:val="center"/>
            </w:pPr>
            <w:r/>
            <w:r>
              <w:rPr>
                <w:rFonts w:ascii="Calibri" w:hAnsi="Calibri"/>
                <w:b w:val="0"/>
                <w:i w:val="0"/>
                <w:color w:val="1A1420"/>
                <w:sz w:val="17"/>
              </w:rPr>
              <w:t>2</w:t>
            </w:r>
          </w:p>
        </w:tc>
        <w:tc>
          <w:tcPr>
            <w:tcW w:type="dxa" w:w="1150"/>
            <w:shd w:val="clear" w:color="auto" w:fill="EAF4FB"/>
          </w:tcPr>
          <w:p>
            <w:pPr>
              <w:spacing w:after="20" w:before="20"/>
              <w:jc w:val="center"/>
            </w:pPr>
            <w:r/>
            <w:r>
              <w:rPr>
                <w:rFonts w:ascii="Calibri" w:hAnsi="Calibri"/>
                <w:b w:val="0"/>
                <w:i w:val="0"/>
                <w:color w:val="1A1420"/>
                <w:sz w:val="17"/>
              </w:rPr>
              <w:t>2</w:t>
            </w:r>
          </w:p>
        </w:tc>
        <w:tc>
          <w:tcPr>
            <w:tcW w:type="dxa" w:w="1050"/>
            <w:shd w:val="clear" w:color="auto" w:fill="EAF4FB"/>
          </w:tcPr>
          <w:p>
            <w:pPr>
              <w:spacing w:after="20" w:before="20"/>
              <w:jc w:val="center"/>
            </w:pPr>
            <w:r/>
            <w:r>
              <w:rPr>
                <w:rFonts w:ascii="Calibri" w:hAnsi="Calibri"/>
                <w:b w:val="0"/>
                <w:i w:val="0"/>
                <w:color w:val="1A1420"/>
                <w:sz w:val="17"/>
              </w:rPr>
              <w:t>2</w:t>
            </w:r>
          </w:p>
        </w:tc>
        <w:tc>
          <w:tcPr>
            <w:tcW w:type="dxa" w:w="1050"/>
            <w:shd w:val="clear" w:color="auto" w:fill="EAF4FB"/>
          </w:tcPr>
          <w:p>
            <w:pPr>
              <w:spacing w:after="20" w:before="20"/>
              <w:jc w:val="center"/>
            </w:pPr>
            <w:r/>
            <w:r>
              <w:rPr>
                <w:rFonts w:ascii="Calibri" w:hAnsi="Calibri"/>
                <w:b w:val="0"/>
                <w:i w:val="0"/>
                <w:color w:val="1A1420"/>
                <w:sz w:val="17"/>
              </w:rPr>
              <w:t>100 %</w:t>
            </w:r>
          </w:p>
        </w:tc>
        <w:tc>
          <w:tcPr>
            <w:tcW w:type="dxa" w:w="2460"/>
            <w:shd w:val="clear" w:color="auto" w:fill="EAF4FB"/>
          </w:tcPr>
          <w:p>
            <w:pPr>
              <w:spacing w:after="20" w:before="20"/>
              <w:jc w:val="left"/>
            </w:pPr>
            <w:r/>
            <w:r>
              <w:rPr>
                <w:rFonts w:ascii="Calibri" w:hAnsi="Calibri"/>
                <w:b w:val="0"/>
                <w:i w:val="0"/>
                <w:color w:val="1A1420"/>
                <w:sz w:val="17"/>
              </w:rPr>
              <w:t>C1b prueba el mensaje de respaldo</w:t>
            </w:r>
          </w:p>
        </w:tc>
      </w:tr>
      <w:tr>
        <w:tc>
          <w:tcPr>
            <w:tcW w:type="dxa" w:w="1350"/>
            <w:shd w:val="clear" w:color="auto" w:fill="EAF4FB"/>
          </w:tcPr>
          <w:p>
            <w:pPr>
              <w:spacing w:after="20" w:before="20"/>
              <w:jc w:val="left"/>
            </w:pPr>
            <w:r/>
            <w:r>
              <w:rPr>
                <w:rFonts w:ascii="Calibri" w:hAnsi="Calibri"/>
                <w:b/>
                <w:i w:val="0"/>
                <w:color w:val="1A1420"/>
                <w:sz w:val="17"/>
              </w:rPr>
              <w:t>Actualizar</w:t>
            </w:r>
          </w:p>
        </w:tc>
        <w:tc>
          <w:tcPr>
            <w:tcW w:type="dxa" w:w="1550"/>
            <w:shd w:val="clear" w:color="auto" w:fill="EAF4FB"/>
          </w:tcPr>
          <w:p>
            <w:pPr>
              <w:spacing w:after="20" w:before="20"/>
              <w:jc w:val="left"/>
            </w:pPr>
            <w:r/>
            <w:r>
              <w:rPr>
                <w:rFonts w:ascii="Calibri" w:hAnsi="Calibri"/>
                <w:b w:val="0"/>
                <w:i w:val="0"/>
                <w:color w:val="1A1420"/>
                <w:sz w:val="17"/>
              </w:rPr>
              <w:t>handleSaveEdit</w:t>
            </w:r>
          </w:p>
        </w:tc>
        <w:tc>
          <w:tcPr>
            <w:tcW w:type="dxa" w:w="750"/>
            <w:shd w:val="clear" w:color="auto" w:fill="EAF4FB"/>
          </w:tcPr>
          <w:p>
            <w:pPr>
              <w:spacing w:after="20" w:before="20"/>
              <w:jc w:val="center"/>
            </w:pPr>
            <w:r/>
            <w:r>
              <w:rPr>
                <w:rFonts w:ascii="Calibri" w:hAnsi="Calibri"/>
                <w:b w:val="0"/>
                <w:i w:val="0"/>
                <w:color w:val="1A1420"/>
                <w:sz w:val="17"/>
              </w:rPr>
              <w:t>3</w:t>
            </w:r>
          </w:p>
        </w:tc>
        <w:tc>
          <w:tcPr>
            <w:tcW w:type="dxa" w:w="11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100 %</w:t>
            </w:r>
          </w:p>
        </w:tc>
        <w:tc>
          <w:tcPr>
            <w:tcW w:type="dxa" w:w="2460"/>
            <w:shd w:val="clear" w:color="auto" w:fill="EAF4FB"/>
          </w:tcPr>
          <w:p>
            <w:pPr>
              <w:spacing w:after="20" w:before="20"/>
              <w:jc w:val="left"/>
            </w:pPr>
            <w:r/>
            <w:r>
              <w:rPr>
                <w:rFonts w:ascii="Calibri" w:hAnsi="Calibri"/>
                <w:b w:val="0"/>
                <w:i w:val="0"/>
                <w:color w:val="1A1420"/>
                <w:sz w:val="17"/>
              </w:rPr>
              <w:t>sin condiciones compuestas</w:t>
            </w:r>
          </w:p>
        </w:tc>
      </w:tr>
      <w:tr>
        <w:tc>
          <w:tcPr>
            <w:tcW w:type="dxa" w:w="1350"/>
            <w:shd w:val="clear" w:color="auto" w:fill="EAF4FB"/>
          </w:tcPr>
          <w:p>
            <w:pPr>
              <w:spacing w:after="20" w:before="20"/>
              <w:jc w:val="left"/>
            </w:pPr>
            <w:r/>
            <w:r>
              <w:rPr>
                <w:rFonts w:ascii="Calibri" w:hAnsi="Calibri"/>
                <w:b/>
                <w:i w:val="0"/>
                <w:color w:val="1A1420"/>
                <w:sz w:val="17"/>
              </w:rPr>
              <w:t>Eliminar</w:t>
            </w:r>
          </w:p>
        </w:tc>
        <w:tc>
          <w:tcPr>
            <w:tcW w:type="dxa" w:w="1550"/>
            <w:shd w:val="clear" w:color="auto" w:fill="EAF4FB"/>
          </w:tcPr>
          <w:p>
            <w:pPr>
              <w:spacing w:after="20" w:before="20"/>
              <w:jc w:val="left"/>
            </w:pPr>
            <w:r/>
            <w:r>
              <w:rPr>
                <w:rFonts w:ascii="Calibri" w:hAnsi="Calibri"/>
                <w:b w:val="0"/>
                <w:i w:val="0"/>
                <w:color w:val="1A1420"/>
                <w:sz w:val="17"/>
              </w:rPr>
              <w:t>confirmDelete</w:t>
            </w:r>
          </w:p>
        </w:tc>
        <w:tc>
          <w:tcPr>
            <w:tcW w:type="dxa" w:w="750"/>
            <w:shd w:val="clear" w:color="auto" w:fill="EAF4FB"/>
          </w:tcPr>
          <w:p>
            <w:pPr>
              <w:spacing w:after="20" w:before="20"/>
              <w:jc w:val="center"/>
            </w:pPr>
            <w:r/>
            <w:r>
              <w:rPr>
                <w:rFonts w:ascii="Calibri" w:hAnsi="Calibri"/>
                <w:b w:val="0"/>
                <w:i w:val="0"/>
                <w:color w:val="1A1420"/>
                <w:sz w:val="17"/>
              </w:rPr>
              <w:t>3</w:t>
            </w:r>
          </w:p>
        </w:tc>
        <w:tc>
          <w:tcPr>
            <w:tcW w:type="dxa" w:w="11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100 %</w:t>
            </w:r>
          </w:p>
        </w:tc>
        <w:tc>
          <w:tcPr>
            <w:tcW w:type="dxa" w:w="2460"/>
            <w:shd w:val="clear" w:color="auto" w:fill="EAF4FB"/>
          </w:tcPr>
          <w:p>
            <w:pPr>
              <w:spacing w:after="20" w:before="20"/>
              <w:jc w:val="left"/>
            </w:pPr>
            <w:r/>
            <w:r>
              <w:rPr>
                <w:rFonts w:ascii="Calibri" w:hAnsi="Calibri"/>
                <w:b w:val="0"/>
                <w:i w:val="0"/>
                <w:color w:val="1A1420"/>
                <w:sz w:val="17"/>
              </w:rPr>
              <w:t>sin condiciones compuestas</w:t>
            </w:r>
          </w:p>
        </w:tc>
      </w:tr>
      <w:tr>
        <w:tc>
          <w:tcPr>
            <w:tcW w:type="dxa" w:w="1350"/>
            <w:shd w:val="clear" w:color="auto" w:fill="EAF4FB"/>
          </w:tcPr>
          <w:p>
            <w:pPr>
              <w:spacing w:after="20" w:before="20"/>
              <w:jc w:val="left"/>
            </w:pPr>
            <w:r/>
            <w:r>
              <w:rPr>
                <w:rFonts w:ascii="Calibri" w:hAnsi="Calibri"/>
                <w:b/>
                <w:i w:val="0"/>
                <w:color w:val="1A1420"/>
                <w:sz w:val="17"/>
              </w:rPr>
              <w:t>Transferir</w:t>
            </w:r>
          </w:p>
        </w:tc>
        <w:tc>
          <w:tcPr>
            <w:tcW w:type="dxa" w:w="1550"/>
            <w:shd w:val="clear" w:color="auto" w:fill="EAF4FB"/>
          </w:tcPr>
          <w:p>
            <w:pPr>
              <w:spacing w:after="20" w:before="20"/>
              <w:jc w:val="left"/>
            </w:pPr>
            <w:r/>
            <w:r>
              <w:rPr>
                <w:rFonts w:ascii="Calibri" w:hAnsi="Calibri"/>
                <w:b w:val="0"/>
                <w:i w:val="0"/>
                <w:color w:val="1A1420"/>
                <w:sz w:val="17"/>
              </w:rPr>
              <w:t>handleTransfer</w:t>
            </w:r>
          </w:p>
        </w:tc>
        <w:tc>
          <w:tcPr>
            <w:tcW w:type="dxa" w:w="750"/>
            <w:shd w:val="clear" w:color="auto" w:fill="EAF4FB"/>
          </w:tcPr>
          <w:p>
            <w:pPr>
              <w:spacing w:after="20" w:before="20"/>
              <w:jc w:val="center"/>
            </w:pPr>
            <w:r/>
            <w:r>
              <w:rPr>
                <w:rFonts w:ascii="Calibri" w:hAnsi="Calibri"/>
                <w:b w:val="0"/>
                <w:i w:val="0"/>
                <w:color w:val="1A1420"/>
                <w:sz w:val="17"/>
              </w:rPr>
              <w:t>3</w:t>
            </w:r>
          </w:p>
        </w:tc>
        <w:tc>
          <w:tcPr>
            <w:tcW w:type="dxa" w:w="11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100 %</w:t>
            </w:r>
          </w:p>
        </w:tc>
        <w:tc>
          <w:tcPr>
            <w:tcW w:type="dxa" w:w="2460"/>
            <w:shd w:val="clear" w:color="auto" w:fill="FBF0DC"/>
          </w:tcPr>
          <w:p>
            <w:pPr>
              <w:spacing w:after="20" w:before="20"/>
              <w:jc w:val="left"/>
            </w:pPr>
            <w:r/>
            <w:r>
              <w:rPr>
                <w:rFonts w:ascii="Calibri" w:hAnsi="Calibri"/>
                <w:b w:val="0"/>
                <w:i w:val="0"/>
                <w:color w:val="1A1420"/>
                <w:sz w:val="17"/>
              </w:rPr>
              <w:t>67 % — OR de 3 cláusulas, 2/3 probadas</w:t>
            </w:r>
          </w:p>
        </w:tc>
      </w:tr>
    </w:tbl>
    <w:p>
      <w:pPr>
        <w:spacing w:after="40"/>
      </w:pPr>
    </w:p>
    <w:p>
      <w:pPr>
        <w:spacing w:after="120"/>
        <w:jc w:val="both"/>
      </w:pPr>
      <w:r>
        <w:rPr>
          <w:b w:val="0"/>
          <w:i w:val="0"/>
          <w:color w:val="1A1420"/>
          <w:sz w:val="21"/>
        </w:rPr>
        <w:t>Interpretación: la cobertura de caminos independientes del frontend es 100 % en las cinco funcionalidades — se probó una base completa por handler, e incluso se añadieron casos extra (C1b) para las condiciones compuestas. La única brecha estructural está en la cobertura de condición de Transferir: su nodo 1 es un OR de tres cláusulas (fromPocketId, toPocketId, transferAmount vacíos) y solo se probaron dos como disparador aislado; falta el caso “fromPocketId vacío”. Es una prueba de una línea que cerraría la última rendija.</w:t>
      </w:r>
    </w:p>
    <w:p>
      <w:r>
        <w:br w:type="page"/>
      </w:r>
    </w:p>
    <w:p>
      <w:pPr>
        <w:pStyle w:val="Heading1"/>
      </w:pPr>
      <w:r>
        <w:t>5. Métricas de Calidad del Producto — ISO 25010</w:t>
      </w:r>
    </w:p>
    <w:p>
      <w:pPr>
        <w:spacing w:after="120"/>
        <w:jc w:val="left"/>
      </w:pPr>
      <w:r>
        <w:rPr>
          <w:b w:val="0"/>
          <w:i w:val="0"/>
          <w:color w:val="1A1420"/>
          <w:sz w:val="21"/>
        </w:rPr>
        <w:t>La norma ISO 25010 organiza la calidad del producto en características. Se calculan las cuatro con fórmula explícita en la Clase 09: mantenibilidad, fiabilidad, eficiencia de desempeño y seguridad.</w:t>
      </w:r>
    </w:p>
    <w:p>
      <w:pPr>
        <w:pStyle w:val="Heading2"/>
      </w:pPr>
      <w:r>
        <w:t>5.1 Mantenibilidad</w:t>
      </w:r>
    </w:p>
    <w:p>
      <w:pPr>
        <w:spacing w:after="120"/>
        <w:jc w:val="left"/>
      </w:pPr>
      <w:r>
        <w:rPr>
          <w:b w:val="0"/>
          <w:i w:val="0"/>
          <w:color w:val="1A1420"/>
          <w:sz w:val="21"/>
        </w:rPr>
        <w:t>Agrupa varias métricas que anticipan qué tan costoso será mantener el código (diap. 26-30). Reutiliza V(G) y la complejidad cognitiva ya calculadas y añade LoC, duplicación, acoplamiento (CBO) y herencia (DIT).</w:t>
      </w:r>
    </w:p>
    <w:p>
      <w:pPr>
        <w:spacing w:after="120"/>
        <w:jc w:val="left"/>
      </w:pPr>
      <w:r>
        <w:rPr>
          <w:b w:val="0"/>
          <w:i w:val="0"/>
          <w:color w:val="1A1420"/>
          <w:sz w:val="21"/>
        </w:rPr>
        <w:t>Fórmulas y origen de cada una:</w:t>
      </w:r>
    </w:p>
    <w:p>
      <w:pPr>
        <w:pStyle w:val="ListBullet"/>
        <w:spacing w:after="60"/>
      </w:pPr>
      <w:r>
        <w:rPr>
          <w:b/>
          <w:color w:val="1A1420"/>
          <w:sz w:val="21"/>
        </w:rPr>
        <w:t xml:space="preserve">LoC (SLOC, diap. 28): </w:t>
      </w:r>
      <w:r>
        <w:rPr>
          <w:color w:val="1A1420"/>
          <w:sz w:val="21"/>
        </w:rPr>
        <w:t>líneas totales sin blancos ni comentarios, contadas por archivo.</w:t>
      </w:r>
    </w:p>
    <w:p>
      <w:pPr>
        <w:pStyle w:val="ListBullet"/>
        <w:spacing w:after="60"/>
      </w:pPr>
      <w:r>
        <w:rPr>
          <w:b/>
          <w:color w:val="1A1420"/>
          <w:sz w:val="21"/>
        </w:rPr>
        <w:t xml:space="preserve">Duplicación (diap. 27): </w:t>
      </w:r>
      <w:r>
        <w:rPr>
          <w:color w:val="1A1420"/>
          <w:sz w:val="21"/>
        </w:rPr>
        <w:t>(líneas duplicadas / total) × 100. En backend el bloque de creación de notificación se repite casi idéntico en 4 casos de uso (≈ 8 %); en frontend el patrón try/catch/finally con backendMessage se repite en los 5 handlers (≈ 14 %). Son estimaciones a partir de esos bloques repetidos.</w:t>
      </w:r>
    </w:p>
    <w:p>
      <w:pPr>
        <w:pStyle w:val="ListBullet"/>
        <w:spacing w:after="60"/>
      </w:pPr>
      <w:r>
        <w:rPr>
          <w:b/>
          <w:color w:val="1A1420"/>
          <w:sz w:val="21"/>
        </w:rPr>
        <w:t xml:space="preserve">Acoplamiento CBO (diap. 29): </w:t>
      </w:r>
      <w:r>
        <w:rPr>
          <w:color w:val="1A1420"/>
          <w:sz w:val="21"/>
        </w:rPr>
        <w:t>Σ dependencias entre módulos. Se contaron los colaboradores importados por cada caso de uso (repositorios vía interfaz, entidades, AppError). Al depender de interfaces, el acoplamiento es de abstracción, que es el sano.</w:t>
      </w:r>
    </w:p>
    <w:p>
      <w:pPr>
        <w:pStyle w:val="ListBullet"/>
        <w:spacing w:after="60"/>
      </w:pPr>
      <w:r>
        <w:rPr>
          <w:b/>
          <w:color w:val="1A1420"/>
          <w:sz w:val="21"/>
        </w:rPr>
        <w:t xml:space="preserve">Herencia DIT (diap. 30): </w:t>
      </w:r>
      <w:r>
        <w:rPr>
          <w:color w:val="1A1420"/>
          <w:sz w:val="21"/>
        </w:rPr>
        <w:t>niveles de herencia. El módulo no usa herencia: las clases son planas → DIT = 1 en backend (clase única) y 0 en el frontend (funciones).</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350"/>
            <w:shd w:val="clear" w:color="auto" w:fill="820AD1"/>
          </w:tcPr>
          <w:p>
            <w:pPr>
              <w:spacing w:after="20" w:before="20"/>
              <w:jc w:val="center"/>
            </w:pPr>
            <w:r/>
            <w:r>
              <w:rPr>
                <w:rFonts w:ascii="Calibri" w:hAnsi="Calibri"/>
                <w:b/>
                <w:i w:val="0"/>
                <w:color w:val="FFFFFF"/>
                <w:sz w:val="18"/>
              </w:rPr>
              <w:t>Funcionalidad</w:t>
            </w:r>
          </w:p>
        </w:tc>
        <w:tc>
          <w:tcPr>
            <w:tcW w:type="dxa" w:w="750"/>
            <w:shd w:val="clear" w:color="auto" w:fill="820AD1"/>
          </w:tcPr>
          <w:p>
            <w:pPr>
              <w:spacing w:after="20" w:before="20"/>
              <w:jc w:val="center"/>
            </w:pPr>
            <w:r/>
            <w:r>
              <w:rPr>
                <w:rFonts w:ascii="Calibri" w:hAnsi="Calibri"/>
                <w:b/>
                <w:i w:val="0"/>
                <w:color w:val="FFFFFF"/>
                <w:sz w:val="18"/>
              </w:rPr>
              <w:t>Capa</w:t>
            </w:r>
          </w:p>
        </w:tc>
        <w:tc>
          <w:tcPr>
            <w:tcW w:type="dxa" w:w="850"/>
            <w:shd w:val="clear" w:color="auto" w:fill="820AD1"/>
          </w:tcPr>
          <w:p>
            <w:pPr>
              <w:spacing w:after="20" w:before="20"/>
              <w:jc w:val="center"/>
            </w:pPr>
            <w:r/>
            <w:r>
              <w:rPr>
                <w:rFonts w:ascii="Calibri" w:hAnsi="Calibri"/>
                <w:b/>
                <w:i w:val="0"/>
                <w:color w:val="FFFFFF"/>
                <w:sz w:val="18"/>
              </w:rPr>
              <w:t>V(G)</w:t>
            </w:r>
          </w:p>
        </w:tc>
        <w:tc>
          <w:tcPr>
            <w:tcW w:type="dxa" w:w="1050"/>
            <w:shd w:val="clear" w:color="auto" w:fill="820AD1"/>
          </w:tcPr>
          <w:p>
            <w:pPr>
              <w:spacing w:after="20" w:before="20"/>
              <w:jc w:val="center"/>
            </w:pPr>
            <w:r/>
            <w:r>
              <w:rPr>
                <w:rFonts w:ascii="Calibri" w:hAnsi="Calibri"/>
                <w:b/>
                <w:i w:val="0"/>
                <w:color w:val="FFFFFF"/>
                <w:sz w:val="18"/>
              </w:rPr>
              <w:t>Cognitiva</w:t>
            </w:r>
          </w:p>
        </w:tc>
        <w:tc>
          <w:tcPr>
            <w:tcW w:type="dxa" w:w="850"/>
            <w:shd w:val="clear" w:color="auto" w:fill="820AD1"/>
          </w:tcPr>
          <w:p>
            <w:pPr>
              <w:spacing w:after="20" w:before="20"/>
              <w:jc w:val="center"/>
            </w:pPr>
            <w:r/>
            <w:r>
              <w:rPr>
                <w:rFonts w:ascii="Calibri" w:hAnsi="Calibri"/>
                <w:b/>
                <w:i w:val="0"/>
                <w:color w:val="FFFFFF"/>
                <w:sz w:val="18"/>
              </w:rPr>
              <w:t>LoC</w:t>
            </w:r>
          </w:p>
        </w:tc>
        <w:tc>
          <w:tcPr>
            <w:tcW w:type="dxa" w:w="850"/>
            <w:shd w:val="clear" w:color="auto" w:fill="820AD1"/>
          </w:tcPr>
          <w:p>
            <w:pPr>
              <w:spacing w:after="20" w:before="20"/>
              <w:jc w:val="center"/>
            </w:pPr>
            <w:r/>
            <w:r>
              <w:rPr>
                <w:rFonts w:ascii="Calibri" w:hAnsi="Calibri"/>
                <w:b/>
                <w:i w:val="0"/>
                <w:color w:val="FFFFFF"/>
                <w:sz w:val="18"/>
              </w:rPr>
              <w:t>CBO</w:t>
            </w:r>
          </w:p>
        </w:tc>
        <w:tc>
          <w:tcPr>
            <w:tcW w:type="dxa" w:w="750"/>
            <w:shd w:val="clear" w:color="auto" w:fill="820AD1"/>
          </w:tcPr>
          <w:p>
            <w:pPr>
              <w:spacing w:after="20" w:before="20"/>
              <w:jc w:val="center"/>
            </w:pPr>
            <w:r/>
            <w:r>
              <w:rPr>
                <w:rFonts w:ascii="Calibri" w:hAnsi="Calibri"/>
                <w:b/>
                <w:i w:val="0"/>
                <w:color w:val="FFFFFF"/>
                <w:sz w:val="18"/>
              </w:rPr>
              <w:t>DIT</w:t>
            </w:r>
          </w:p>
        </w:tc>
        <w:tc>
          <w:tcPr>
            <w:tcW w:type="dxa" w:w="1150"/>
            <w:shd w:val="clear" w:color="auto" w:fill="820AD1"/>
          </w:tcPr>
          <w:p>
            <w:pPr>
              <w:spacing w:after="20" w:before="20"/>
              <w:jc w:val="center"/>
            </w:pPr>
            <w:r/>
            <w:r>
              <w:rPr>
                <w:rFonts w:ascii="Calibri" w:hAnsi="Calibri"/>
                <w:b/>
                <w:i w:val="0"/>
                <w:color w:val="FFFFFF"/>
                <w:sz w:val="18"/>
              </w:rPr>
              <w:t>Duplicación</w:t>
            </w:r>
          </w:p>
        </w:tc>
        <w:tc>
          <w:tcPr>
            <w:tcW w:type="dxa" w:w="1760"/>
            <w:shd w:val="clear" w:color="auto" w:fill="820AD1"/>
          </w:tcPr>
          <w:p>
            <w:pPr>
              <w:spacing w:after="20" w:before="20"/>
              <w:jc w:val="center"/>
            </w:pPr>
            <w:r/>
            <w:r>
              <w:rPr>
                <w:rFonts w:ascii="Calibri" w:hAnsi="Calibri"/>
                <w:b/>
                <w:i w:val="0"/>
                <w:color w:val="FFFFFF"/>
                <w:sz w:val="18"/>
              </w:rPr>
              <w:t>Nivel</w:t>
            </w:r>
          </w:p>
        </w:tc>
      </w:tr>
      <w:tr>
        <w:tc>
          <w:tcPr>
            <w:tcW w:type="dxa" w:w="1350"/>
            <w:shd w:val="clear" w:color="auto" w:fill="F4F0FA"/>
          </w:tcPr>
          <w:p>
            <w:pPr>
              <w:spacing w:after="20" w:before="20"/>
              <w:jc w:val="left"/>
            </w:pPr>
            <w:r/>
            <w:r>
              <w:rPr>
                <w:rFonts w:ascii="Calibri" w:hAnsi="Calibri"/>
                <w:b/>
                <w:i w:val="0"/>
                <w:color w:val="1A1420"/>
                <w:sz w:val="17"/>
              </w:rPr>
              <w:t>Crear</w:t>
            </w:r>
          </w:p>
        </w:tc>
        <w:tc>
          <w:tcPr>
            <w:tcW w:type="dxa" w:w="750"/>
            <w:shd w:val="clear" w:color="auto" w:fill="F4F0FA"/>
          </w:tcPr>
          <w:p>
            <w:pPr>
              <w:spacing w:after="20" w:before="20"/>
              <w:jc w:val="center"/>
            </w:pPr>
            <w:r/>
            <w:r>
              <w:rPr>
                <w:rFonts w:ascii="Calibri" w:hAnsi="Calibri"/>
                <w:b w:val="0"/>
                <w:i w:val="0"/>
                <w:color w:val="1A1420"/>
                <w:sz w:val="17"/>
              </w:rPr>
              <w:t>BE</w:t>
            </w:r>
          </w:p>
        </w:tc>
        <w:tc>
          <w:tcPr>
            <w:tcW w:type="dxa" w:w="850"/>
            <w:shd w:val="clear" w:color="auto" w:fill="F4F0FA"/>
          </w:tcPr>
          <w:p>
            <w:pPr>
              <w:spacing w:after="20" w:before="20"/>
              <w:jc w:val="center"/>
            </w:pPr>
            <w:r/>
            <w:r>
              <w:rPr>
                <w:rFonts w:ascii="Calibri" w:hAnsi="Calibri"/>
                <w:b w:val="0"/>
                <w:i w:val="0"/>
                <w:color w:val="1A1420"/>
                <w:sz w:val="17"/>
              </w:rPr>
              <w:t>6</w:t>
            </w:r>
          </w:p>
        </w:tc>
        <w:tc>
          <w:tcPr>
            <w:tcW w:type="dxa" w:w="1050"/>
            <w:shd w:val="clear" w:color="auto" w:fill="F4F0FA"/>
          </w:tcPr>
          <w:p>
            <w:pPr>
              <w:spacing w:after="20" w:before="20"/>
              <w:jc w:val="center"/>
            </w:pPr>
            <w:r/>
            <w:r>
              <w:rPr>
                <w:rFonts w:ascii="Calibri" w:hAnsi="Calibri"/>
                <w:b w:val="0"/>
                <w:i w:val="0"/>
                <w:color w:val="1A1420"/>
                <w:sz w:val="17"/>
              </w:rPr>
              <w:t>5</w:t>
            </w:r>
          </w:p>
        </w:tc>
        <w:tc>
          <w:tcPr>
            <w:tcW w:type="dxa" w:w="850"/>
            <w:shd w:val="clear" w:color="auto" w:fill="F4F0FA"/>
          </w:tcPr>
          <w:p>
            <w:pPr>
              <w:spacing w:after="20" w:before="20"/>
              <w:jc w:val="center"/>
            </w:pPr>
            <w:r/>
            <w:r>
              <w:rPr>
                <w:rFonts w:ascii="Calibri" w:hAnsi="Calibri"/>
                <w:b w:val="0"/>
                <w:i w:val="0"/>
                <w:color w:val="1A1420"/>
                <w:sz w:val="17"/>
              </w:rPr>
              <w:t>52</w:t>
            </w:r>
          </w:p>
        </w:tc>
        <w:tc>
          <w:tcPr>
            <w:tcW w:type="dxa" w:w="850"/>
            <w:shd w:val="clear" w:color="auto" w:fill="F4F0FA"/>
          </w:tcPr>
          <w:p>
            <w:pPr>
              <w:spacing w:after="20" w:before="20"/>
              <w:jc w:val="center"/>
            </w:pPr>
            <w:r/>
            <w:r>
              <w:rPr>
                <w:rFonts w:ascii="Calibri" w:hAnsi="Calibri"/>
                <w:b w:val="0"/>
                <w:i w:val="0"/>
                <w:color w:val="1A1420"/>
                <w:sz w:val="17"/>
              </w:rPr>
              <w:t>6</w:t>
            </w:r>
          </w:p>
        </w:tc>
        <w:tc>
          <w:tcPr>
            <w:tcW w:type="dxa" w:w="750"/>
            <w:shd w:val="clear" w:color="auto" w:fill="F4F0FA"/>
          </w:tcPr>
          <w:p>
            <w:pPr>
              <w:spacing w:after="20" w:before="20"/>
              <w:jc w:val="center"/>
            </w:pPr>
            <w:r/>
            <w:r>
              <w:rPr>
                <w:rFonts w:ascii="Calibri" w:hAnsi="Calibri"/>
                <w:b w:val="0"/>
                <w:i w:val="0"/>
                <w:color w:val="1A1420"/>
                <w:sz w:val="17"/>
              </w:rPr>
              <w:t>1</w:t>
            </w:r>
          </w:p>
        </w:tc>
        <w:tc>
          <w:tcPr>
            <w:tcW w:type="dxa" w:w="1150"/>
            <w:shd w:val="clear" w:color="auto" w:fill="F4F0FA"/>
          </w:tcPr>
          <w:p>
            <w:pPr>
              <w:spacing w:after="20" w:before="20"/>
              <w:jc w:val="center"/>
            </w:pPr>
            <w:r/>
            <w:r>
              <w:rPr>
                <w:rFonts w:ascii="Calibri" w:hAnsi="Calibri"/>
                <w:b w:val="0"/>
                <w:i w:val="0"/>
                <w:color w:val="1A1420"/>
                <w:sz w:val="17"/>
              </w:rPr>
              <w:t>~8 %</w:t>
            </w:r>
          </w:p>
        </w:tc>
        <w:tc>
          <w:tcPr>
            <w:tcW w:type="dxa" w:w="1760"/>
            <w:shd w:val="clear" w:color="auto" w:fill="F4F0FA"/>
          </w:tcPr>
          <w:p>
            <w:pPr>
              <w:spacing w:after="20" w:before="20"/>
              <w:jc w:val="center"/>
            </w:pPr>
            <w:r/>
            <w:r>
              <w:rPr>
                <w:rFonts w:ascii="Calibri" w:hAnsi="Calibri"/>
                <w:b w:val="0"/>
                <w:i w:val="0"/>
                <w:color w:val="1A1420"/>
                <w:sz w:val="17"/>
              </w:rPr>
              <w:t>Alta</w:t>
            </w:r>
          </w:p>
        </w:tc>
      </w:tr>
      <w:tr>
        <w:tc>
          <w:tcPr>
            <w:tcW w:type="dxa" w:w="1350"/>
            <w:shd w:val="clear" w:color="auto" w:fill="F4F0FA"/>
          </w:tcPr>
          <w:p>
            <w:pPr>
              <w:spacing w:after="20" w:before="20"/>
              <w:jc w:val="left"/>
            </w:pPr>
            <w:r/>
            <w:r>
              <w:rPr>
                <w:rFonts w:ascii="Calibri" w:hAnsi="Calibri"/>
                <w:b/>
                <w:i w:val="0"/>
                <w:color w:val="1A1420"/>
                <w:sz w:val="17"/>
              </w:rPr>
              <w:t>Consultar</w:t>
            </w:r>
          </w:p>
        </w:tc>
        <w:tc>
          <w:tcPr>
            <w:tcW w:type="dxa" w:w="750"/>
            <w:shd w:val="clear" w:color="auto" w:fill="F4F0FA"/>
          </w:tcPr>
          <w:p>
            <w:pPr>
              <w:spacing w:after="20" w:before="20"/>
              <w:jc w:val="center"/>
            </w:pPr>
            <w:r/>
            <w:r>
              <w:rPr>
                <w:rFonts w:ascii="Calibri" w:hAnsi="Calibri"/>
                <w:b w:val="0"/>
                <w:i w:val="0"/>
                <w:color w:val="1A1420"/>
                <w:sz w:val="17"/>
              </w:rPr>
              <w:t>BE</w:t>
            </w:r>
          </w:p>
        </w:tc>
        <w:tc>
          <w:tcPr>
            <w:tcW w:type="dxa" w:w="850"/>
            <w:shd w:val="clear" w:color="auto" w:fill="F4F0FA"/>
          </w:tcPr>
          <w:p>
            <w:pPr>
              <w:spacing w:after="20" w:before="20"/>
              <w:jc w:val="center"/>
            </w:pPr>
            <w:r/>
            <w:r>
              <w:rPr>
                <w:rFonts w:ascii="Calibri" w:hAnsi="Calibri"/>
                <w:b w:val="0"/>
                <w:i w:val="0"/>
                <w:color w:val="1A1420"/>
                <w:sz w:val="17"/>
              </w:rPr>
              <w:t>2</w:t>
            </w:r>
          </w:p>
        </w:tc>
        <w:tc>
          <w:tcPr>
            <w:tcW w:type="dxa" w:w="1050"/>
            <w:shd w:val="clear" w:color="auto" w:fill="F4F0FA"/>
          </w:tcPr>
          <w:p>
            <w:pPr>
              <w:spacing w:after="20" w:before="20"/>
              <w:jc w:val="center"/>
            </w:pPr>
            <w:r/>
            <w:r>
              <w:rPr>
                <w:rFonts w:ascii="Calibri" w:hAnsi="Calibri"/>
                <w:b w:val="0"/>
                <w:i w:val="0"/>
                <w:color w:val="1A1420"/>
                <w:sz w:val="17"/>
              </w:rPr>
              <w:t>1</w:t>
            </w:r>
          </w:p>
        </w:tc>
        <w:tc>
          <w:tcPr>
            <w:tcW w:type="dxa" w:w="850"/>
            <w:shd w:val="clear" w:color="auto" w:fill="F4F0FA"/>
          </w:tcPr>
          <w:p>
            <w:pPr>
              <w:spacing w:after="20" w:before="20"/>
              <w:jc w:val="center"/>
            </w:pPr>
            <w:r/>
            <w:r>
              <w:rPr>
                <w:rFonts w:ascii="Calibri" w:hAnsi="Calibri"/>
                <w:b w:val="0"/>
                <w:i w:val="0"/>
                <w:color w:val="1A1420"/>
                <w:sz w:val="17"/>
              </w:rPr>
              <w:t>19</w:t>
            </w:r>
          </w:p>
        </w:tc>
        <w:tc>
          <w:tcPr>
            <w:tcW w:type="dxa" w:w="850"/>
            <w:shd w:val="clear" w:color="auto" w:fill="F4F0FA"/>
          </w:tcPr>
          <w:p>
            <w:pPr>
              <w:spacing w:after="20" w:before="20"/>
              <w:jc w:val="center"/>
            </w:pPr>
            <w:r/>
            <w:r>
              <w:rPr>
                <w:rFonts w:ascii="Calibri" w:hAnsi="Calibri"/>
                <w:b w:val="0"/>
                <w:i w:val="0"/>
                <w:color w:val="1A1420"/>
                <w:sz w:val="17"/>
              </w:rPr>
              <w:t>3</w:t>
            </w:r>
          </w:p>
        </w:tc>
        <w:tc>
          <w:tcPr>
            <w:tcW w:type="dxa" w:w="750"/>
            <w:shd w:val="clear" w:color="auto" w:fill="F4F0FA"/>
          </w:tcPr>
          <w:p>
            <w:pPr>
              <w:spacing w:after="20" w:before="20"/>
              <w:jc w:val="center"/>
            </w:pPr>
            <w:r/>
            <w:r>
              <w:rPr>
                <w:rFonts w:ascii="Calibri" w:hAnsi="Calibri"/>
                <w:b w:val="0"/>
                <w:i w:val="0"/>
                <w:color w:val="1A1420"/>
                <w:sz w:val="17"/>
              </w:rPr>
              <w:t>1</w:t>
            </w:r>
          </w:p>
        </w:tc>
        <w:tc>
          <w:tcPr>
            <w:tcW w:type="dxa" w:w="1150"/>
            <w:shd w:val="clear" w:color="auto" w:fill="F4F0FA"/>
          </w:tcPr>
          <w:p>
            <w:pPr>
              <w:spacing w:after="20" w:before="20"/>
              <w:jc w:val="center"/>
            </w:pPr>
            <w:r/>
            <w:r>
              <w:rPr>
                <w:rFonts w:ascii="Calibri" w:hAnsi="Calibri"/>
                <w:b w:val="0"/>
                <w:i w:val="0"/>
                <w:color w:val="1A1420"/>
                <w:sz w:val="17"/>
              </w:rPr>
              <w:t>~8 %</w:t>
            </w:r>
          </w:p>
        </w:tc>
        <w:tc>
          <w:tcPr>
            <w:tcW w:type="dxa" w:w="1760"/>
            <w:shd w:val="clear" w:color="auto" w:fill="F4F0FA"/>
          </w:tcPr>
          <w:p>
            <w:pPr>
              <w:spacing w:after="20" w:before="20"/>
              <w:jc w:val="center"/>
            </w:pPr>
            <w:r/>
            <w:r>
              <w:rPr>
                <w:rFonts w:ascii="Calibri" w:hAnsi="Calibri"/>
                <w:b w:val="0"/>
                <w:i w:val="0"/>
                <w:color w:val="1A1420"/>
                <w:sz w:val="17"/>
              </w:rPr>
              <w:t>Alta</w:t>
            </w:r>
          </w:p>
        </w:tc>
      </w:tr>
      <w:tr>
        <w:tc>
          <w:tcPr>
            <w:tcW w:type="dxa" w:w="1350"/>
            <w:shd w:val="clear" w:color="auto" w:fill="F4F0FA"/>
          </w:tcPr>
          <w:p>
            <w:pPr>
              <w:spacing w:after="20" w:before="20"/>
              <w:jc w:val="left"/>
            </w:pPr>
            <w:r/>
            <w:r>
              <w:rPr>
                <w:rFonts w:ascii="Calibri" w:hAnsi="Calibri"/>
                <w:b/>
                <w:i w:val="0"/>
                <w:color w:val="1A1420"/>
                <w:sz w:val="17"/>
              </w:rPr>
              <w:t>Actualizar</w:t>
            </w:r>
          </w:p>
        </w:tc>
        <w:tc>
          <w:tcPr>
            <w:tcW w:type="dxa" w:w="750"/>
            <w:shd w:val="clear" w:color="auto" w:fill="F4F0FA"/>
          </w:tcPr>
          <w:p>
            <w:pPr>
              <w:spacing w:after="20" w:before="20"/>
              <w:jc w:val="center"/>
            </w:pPr>
            <w:r/>
            <w:r>
              <w:rPr>
                <w:rFonts w:ascii="Calibri" w:hAnsi="Calibri"/>
                <w:b w:val="0"/>
                <w:i w:val="0"/>
                <w:color w:val="1A1420"/>
                <w:sz w:val="17"/>
              </w:rPr>
              <w:t>BE</w:t>
            </w:r>
          </w:p>
        </w:tc>
        <w:tc>
          <w:tcPr>
            <w:tcW w:type="dxa" w:w="850"/>
            <w:shd w:val="clear" w:color="auto" w:fill="FBE0E6"/>
          </w:tcPr>
          <w:p>
            <w:pPr>
              <w:spacing w:after="20" w:before="20"/>
              <w:jc w:val="center"/>
            </w:pPr>
            <w:r/>
            <w:r>
              <w:rPr>
                <w:rFonts w:ascii="Calibri" w:hAnsi="Calibri"/>
                <w:b w:val="0"/>
                <w:i w:val="0"/>
                <w:color w:val="1A1420"/>
                <w:sz w:val="17"/>
              </w:rPr>
              <w:t>11</w:t>
            </w:r>
          </w:p>
        </w:tc>
        <w:tc>
          <w:tcPr>
            <w:tcW w:type="dxa" w:w="1050"/>
            <w:shd w:val="clear" w:color="auto" w:fill="FBE0E6"/>
          </w:tcPr>
          <w:p>
            <w:pPr>
              <w:spacing w:after="20" w:before="20"/>
              <w:jc w:val="center"/>
            </w:pPr>
            <w:r/>
            <w:r>
              <w:rPr>
                <w:rFonts w:ascii="Calibri" w:hAnsi="Calibri"/>
                <w:b w:val="0"/>
                <w:i w:val="0"/>
                <w:color w:val="1A1420"/>
                <w:sz w:val="17"/>
              </w:rPr>
              <w:t>16</w:t>
            </w:r>
          </w:p>
        </w:tc>
        <w:tc>
          <w:tcPr>
            <w:tcW w:type="dxa" w:w="850"/>
            <w:shd w:val="clear" w:color="auto" w:fill="F4F0FA"/>
          </w:tcPr>
          <w:p>
            <w:pPr>
              <w:spacing w:after="20" w:before="20"/>
              <w:jc w:val="center"/>
            </w:pPr>
            <w:r/>
            <w:r>
              <w:rPr>
                <w:rFonts w:ascii="Calibri" w:hAnsi="Calibri"/>
                <w:b w:val="0"/>
                <w:i w:val="0"/>
                <w:color w:val="1A1420"/>
                <w:sz w:val="17"/>
              </w:rPr>
              <w:t>65</w:t>
            </w:r>
          </w:p>
        </w:tc>
        <w:tc>
          <w:tcPr>
            <w:tcW w:type="dxa" w:w="850"/>
            <w:shd w:val="clear" w:color="auto" w:fill="F4F0FA"/>
          </w:tcPr>
          <w:p>
            <w:pPr>
              <w:spacing w:after="20" w:before="20"/>
              <w:jc w:val="center"/>
            </w:pPr>
            <w:r/>
            <w:r>
              <w:rPr>
                <w:rFonts w:ascii="Calibri" w:hAnsi="Calibri"/>
                <w:b w:val="0"/>
                <w:i w:val="0"/>
                <w:color w:val="1A1420"/>
                <w:sz w:val="17"/>
              </w:rPr>
              <w:t>6</w:t>
            </w:r>
          </w:p>
        </w:tc>
        <w:tc>
          <w:tcPr>
            <w:tcW w:type="dxa" w:w="750"/>
            <w:shd w:val="clear" w:color="auto" w:fill="F4F0FA"/>
          </w:tcPr>
          <w:p>
            <w:pPr>
              <w:spacing w:after="20" w:before="20"/>
              <w:jc w:val="center"/>
            </w:pPr>
            <w:r/>
            <w:r>
              <w:rPr>
                <w:rFonts w:ascii="Calibri" w:hAnsi="Calibri"/>
                <w:b w:val="0"/>
                <w:i w:val="0"/>
                <w:color w:val="1A1420"/>
                <w:sz w:val="17"/>
              </w:rPr>
              <w:t>1</w:t>
            </w:r>
          </w:p>
        </w:tc>
        <w:tc>
          <w:tcPr>
            <w:tcW w:type="dxa" w:w="1150"/>
            <w:shd w:val="clear" w:color="auto" w:fill="F4F0FA"/>
          </w:tcPr>
          <w:p>
            <w:pPr>
              <w:spacing w:after="20" w:before="20"/>
              <w:jc w:val="center"/>
            </w:pPr>
            <w:r/>
            <w:r>
              <w:rPr>
                <w:rFonts w:ascii="Calibri" w:hAnsi="Calibri"/>
                <w:b w:val="0"/>
                <w:i w:val="0"/>
                <w:color w:val="1A1420"/>
                <w:sz w:val="17"/>
              </w:rPr>
              <w:t>~8 %</w:t>
            </w:r>
          </w:p>
        </w:tc>
        <w:tc>
          <w:tcPr>
            <w:tcW w:type="dxa" w:w="1760"/>
            <w:shd w:val="clear" w:color="auto" w:fill="FBE0E6"/>
          </w:tcPr>
          <w:p>
            <w:pPr>
              <w:spacing w:after="20" w:before="20"/>
              <w:jc w:val="center"/>
            </w:pPr>
            <w:r/>
            <w:r>
              <w:rPr>
                <w:rFonts w:ascii="Calibri" w:hAnsi="Calibri"/>
                <w:b w:val="0"/>
                <w:i w:val="0"/>
                <w:color w:val="1A1420"/>
                <w:sz w:val="17"/>
              </w:rPr>
              <w:t>Baja</w:t>
            </w:r>
          </w:p>
        </w:tc>
      </w:tr>
      <w:tr>
        <w:tc>
          <w:tcPr>
            <w:tcW w:type="dxa" w:w="1350"/>
            <w:shd w:val="clear" w:color="auto" w:fill="F4F0FA"/>
          </w:tcPr>
          <w:p>
            <w:pPr>
              <w:spacing w:after="20" w:before="20"/>
              <w:jc w:val="left"/>
            </w:pPr>
            <w:r/>
            <w:r>
              <w:rPr>
                <w:rFonts w:ascii="Calibri" w:hAnsi="Calibri"/>
                <w:b/>
                <w:i w:val="0"/>
                <w:color w:val="1A1420"/>
                <w:sz w:val="17"/>
              </w:rPr>
              <w:t>Eliminar</w:t>
            </w:r>
          </w:p>
        </w:tc>
        <w:tc>
          <w:tcPr>
            <w:tcW w:type="dxa" w:w="750"/>
            <w:shd w:val="clear" w:color="auto" w:fill="F4F0FA"/>
          </w:tcPr>
          <w:p>
            <w:pPr>
              <w:spacing w:after="20" w:before="20"/>
              <w:jc w:val="center"/>
            </w:pPr>
            <w:r/>
            <w:r>
              <w:rPr>
                <w:rFonts w:ascii="Calibri" w:hAnsi="Calibri"/>
                <w:b w:val="0"/>
                <w:i w:val="0"/>
                <w:color w:val="1A1420"/>
                <w:sz w:val="17"/>
              </w:rPr>
              <w:t>BE</w:t>
            </w:r>
          </w:p>
        </w:tc>
        <w:tc>
          <w:tcPr>
            <w:tcW w:type="dxa" w:w="850"/>
            <w:shd w:val="clear" w:color="auto" w:fill="F4F0FA"/>
          </w:tcPr>
          <w:p>
            <w:pPr>
              <w:spacing w:after="20" w:before="20"/>
              <w:jc w:val="center"/>
            </w:pPr>
            <w:r/>
            <w:r>
              <w:rPr>
                <w:rFonts w:ascii="Calibri" w:hAnsi="Calibri"/>
                <w:b w:val="0"/>
                <w:i w:val="0"/>
                <w:color w:val="1A1420"/>
                <w:sz w:val="17"/>
              </w:rPr>
              <w:t>5</w:t>
            </w:r>
          </w:p>
        </w:tc>
        <w:tc>
          <w:tcPr>
            <w:tcW w:type="dxa" w:w="1050"/>
            <w:shd w:val="clear" w:color="auto" w:fill="F4F0FA"/>
          </w:tcPr>
          <w:p>
            <w:pPr>
              <w:spacing w:after="20" w:before="20"/>
              <w:jc w:val="center"/>
            </w:pPr>
            <w:r/>
            <w:r>
              <w:rPr>
                <w:rFonts w:ascii="Calibri" w:hAnsi="Calibri"/>
                <w:b w:val="0"/>
                <w:i w:val="0"/>
                <w:color w:val="1A1420"/>
                <w:sz w:val="17"/>
              </w:rPr>
              <w:t>4</w:t>
            </w:r>
          </w:p>
        </w:tc>
        <w:tc>
          <w:tcPr>
            <w:tcW w:type="dxa" w:w="850"/>
            <w:shd w:val="clear" w:color="auto" w:fill="F4F0FA"/>
          </w:tcPr>
          <w:p>
            <w:pPr>
              <w:spacing w:after="20" w:before="20"/>
              <w:jc w:val="center"/>
            </w:pPr>
            <w:r/>
            <w:r>
              <w:rPr>
                <w:rFonts w:ascii="Calibri" w:hAnsi="Calibri"/>
                <w:b w:val="0"/>
                <w:i w:val="0"/>
                <w:color w:val="1A1420"/>
                <w:sz w:val="17"/>
              </w:rPr>
              <w:t>62</w:t>
            </w:r>
          </w:p>
        </w:tc>
        <w:tc>
          <w:tcPr>
            <w:tcW w:type="dxa" w:w="850"/>
            <w:shd w:val="clear" w:color="auto" w:fill="F4F0FA"/>
          </w:tcPr>
          <w:p>
            <w:pPr>
              <w:spacing w:after="20" w:before="20"/>
              <w:jc w:val="center"/>
            </w:pPr>
            <w:r/>
            <w:r>
              <w:rPr>
                <w:rFonts w:ascii="Calibri" w:hAnsi="Calibri"/>
                <w:b w:val="0"/>
                <w:i w:val="0"/>
                <w:color w:val="1A1420"/>
                <w:sz w:val="17"/>
              </w:rPr>
              <w:t>6</w:t>
            </w:r>
          </w:p>
        </w:tc>
        <w:tc>
          <w:tcPr>
            <w:tcW w:type="dxa" w:w="750"/>
            <w:shd w:val="clear" w:color="auto" w:fill="F4F0FA"/>
          </w:tcPr>
          <w:p>
            <w:pPr>
              <w:spacing w:after="20" w:before="20"/>
              <w:jc w:val="center"/>
            </w:pPr>
            <w:r/>
            <w:r>
              <w:rPr>
                <w:rFonts w:ascii="Calibri" w:hAnsi="Calibri"/>
                <w:b w:val="0"/>
                <w:i w:val="0"/>
                <w:color w:val="1A1420"/>
                <w:sz w:val="17"/>
              </w:rPr>
              <w:t>1</w:t>
            </w:r>
          </w:p>
        </w:tc>
        <w:tc>
          <w:tcPr>
            <w:tcW w:type="dxa" w:w="1150"/>
            <w:shd w:val="clear" w:color="auto" w:fill="F4F0FA"/>
          </w:tcPr>
          <w:p>
            <w:pPr>
              <w:spacing w:after="20" w:before="20"/>
              <w:jc w:val="center"/>
            </w:pPr>
            <w:r/>
            <w:r>
              <w:rPr>
                <w:rFonts w:ascii="Calibri" w:hAnsi="Calibri"/>
                <w:b w:val="0"/>
                <w:i w:val="0"/>
                <w:color w:val="1A1420"/>
                <w:sz w:val="17"/>
              </w:rPr>
              <w:t>~8 %</w:t>
            </w:r>
          </w:p>
        </w:tc>
        <w:tc>
          <w:tcPr>
            <w:tcW w:type="dxa" w:w="1760"/>
            <w:shd w:val="clear" w:color="auto" w:fill="F4F0FA"/>
          </w:tcPr>
          <w:p>
            <w:pPr>
              <w:spacing w:after="20" w:before="20"/>
              <w:jc w:val="center"/>
            </w:pPr>
            <w:r/>
            <w:r>
              <w:rPr>
                <w:rFonts w:ascii="Calibri" w:hAnsi="Calibri"/>
                <w:b w:val="0"/>
                <w:i w:val="0"/>
                <w:color w:val="1A1420"/>
                <w:sz w:val="17"/>
              </w:rPr>
              <w:t>Alta</w:t>
            </w:r>
          </w:p>
        </w:tc>
      </w:tr>
      <w:tr>
        <w:tc>
          <w:tcPr>
            <w:tcW w:type="dxa" w:w="1350"/>
            <w:shd w:val="clear" w:color="auto" w:fill="F4F0FA"/>
          </w:tcPr>
          <w:p>
            <w:pPr>
              <w:spacing w:after="20" w:before="20"/>
              <w:jc w:val="left"/>
            </w:pPr>
            <w:r/>
            <w:r>
              <w:rPr>
                <w:rFonts w:ascii="Calibri" w:hAnsi="Calibri"/>
                <w:b/>
                <w:i w:val="0"/>
                <w:color w:val="1A1420"/>
                <w:sz w:val="17"/>
              </w:rPr>
              <w:t>Transferir</w:t>
            </w:r>
          </w:p>
        </w:tc>
        <w:tc>
          <w:tcPr>
            <w:tcW w:type="dxa" w:w="750"/>
            <w:shd w:val="clear" w:color="auto" w:fill="F4F0FA"/>
          </w:tcPr>
          <w:p>
            <w:pPr>
              <w:spacing w:after="20" w:before="20"/>
              <w:jc w:val="center"/>
            </w:pPr>
            <w:r/>
            <w:r>
              <w:rPr>
                <w:rFonts w:ascii="Calibri" w:hAnsi="Calibri"/>
                <w:b w:val="0"/>
                <w:i w:val="0"/>
                <w:color w:val="1A1420"/>
                <w:sz w:val="17"/>
              </w:rPr>
              <w:t>BE</w:t>
            </w:r>
          </w:p>
        </w:tc>
        <w:tc>
          <w:tcPr>
            <w:tcW w:type="dxa" w:w="850"/>
            <w:shd w:val="clear" w:color="auto" w:fill="F4F0FA"/>
          </w:tcPr>
          <w:p>
            <w:pPr>
              <w:spacing w:after="20" w:before="20"/>
              <w:jc w:val="center"/>
            </w:pPr>
            <w:r/>
            <w:r>
              <w:rPr>
                <w:rFonts w:ascii="Calibri" w:hAnsi="Calibri"/>
                <w:b w:val="0"/>
                <w:i w:val="0"/>
                <w:color w:val="1A1420"/>
                <w:sz w:val="17"/>
              </w:rPr>
              <w:t>10</w:t>
            </w:r>
          </w:p>
        </w:tc>
        <w:tc>
          <w:tcPr>
            <w:tcW w:type="dxa" w:w="1050"/>
            <w:shd w:val="clear" w:color="auto" w:fill="F4F0FA"/>
          </w:tcPr>
          <w:p>
            <w:pPr>
              <w:spacing w:after="20" w:before="20"/>
              <w:jc w:val="center"/>
            </w:pPr>
            <w:r/>
            <w:r>
              <w:rPr>
                <w:rFonts w:ascii="Calibri" w:hAnsi="Calibri"/>
                <w:b w:val="0"/>
                <w:i w:val="0"/>
                <w:color w:val="1A1420"/>
                <w:sz w:val="17"/>
              </w:rPr>
              <w:t>9</w:t>
            </w:r>
          </w:p>
        </w:tc>
        <w:tc>
          <w:tcPr>
            <w:tcW w:type="dxa" w:w="850"/>
            <w:shd w:val="clear" w:color="auto" w:fill="F4F0FA"/>
          </w:tcPr>
          <w:p>
            <w:pPr>
              <w:spacing w:after="20" w:before="20"/>
              <w:jc w:val="center"/>
            </w:pPr>
            <w:r/>
            <w:r>
              <w:rPr>
                <w:rFonts w:ascii="Calibri" w:hAnsi="Calibri"/>
                <w:b w:val="0"/>
                <w:i w:val="0"/>
                <w:color w:val="1A1420"/>
                <w:sz w:val="17"/>
              </w:rPr>
              <w:t>63</w:t>
            </w:r>
          </w:p>
        </w:tc>
        <w:tc>
          <w:tcPr>
            <w:tcW w:type="dxa" w:w="850"/>
            <w:shd w:val="clear" w:color="auto" w:fill="F4F0FA"/>
          </w:tcPr>
          <w:p>
            <w:pPr>
              <w:spacing w:after="20" w:before="20"/>
              <w:jc w:val="center"/>
            </w:pPr>
            <w:r/>
            <w:r>
              <w:rPr>
                <w:rFonts w:ascii="Calibri" w:hAnsi="Calibri"/>
                <w:b w:val="0"/>
                <w:i w:val="0"/>
                <w:color w:val="1A1420"/>
                <w:sz w:val="17"/>
              </w:rPr>
              <w:t>6</w:t>
            </w:r>
          </w:p>
        </w:tc>
        <w:tc>
          <w:tcPr>
            <w:tcW w:type="dxa" w:w="750"/>
            <w:shd w:val="clear" w:color="auto" w:fill="F4F0FA"/>
          </w:tcPr>
          <w:p>
            <w:pPr>
              <w:spacing w:after="20" w:before="20"/>
              <w:jc w:val="center"/>
            </w:pPr>
            <w:r/>
            <w:r>
              <w:rPr>
                <w:rFonts w:ascii="Calibri" w:hAnsi="Calibri"/>
                <w:b w:val="0"/>
                <w:i w:val="0"/>
                <w:color w:val="1A1420"/>
                <w:sz w:val="17"/>
              </w:rPr>
              <w:t>1</w:t>
            </w:r>
          </w:p>
        </w:tc>
        <w:tc>
          <w:tcPr>
            <w:tcW w:type="dxa" w:w="1150"/>
            <w:shd w:val="clear" w:color="auto" w:fill="F4F0FA"/>
          </w:tcPr>
          <w:p>
            <w:pPr>
              <w:spacing w:after="20" w:before="20"/>
              <w:jc w:val="center"/>
            </w:pPr>
            <w:r/>
            <w:r>
              <w:rPr>
                <w:rFonts w:ascii="Calibri" w:hAnsi="Calibri"/>
                <w:b w:val="0"/>
                <w:i w:val="0"/>
                <w:color w:val="1A1420"/>
                <w:sz w:val="17"/>
              </w:rPr>
              <w:t>~8 %</w:t>
            </w:r>
          </w:p>
        </w:tc>
        <w:tc>
          <w:tcPr>
            <w:tcW w:type="dxa" w:w="1760"/>
            <w:shd w:val="clear" w:color="auto" w:fill="F4F0FA"/>
          </w:tcPr>
          <w:p>
            <w:pPr>
              <w:spacing w:after="20" w:before="20"/>
              <w:jc w:val="center"/>
            </w:pPr>
            <w:r/>
            <w:r>
              <w:rPr>
                <w:rFonts w:ascii="Calibri" w:hAnsi="Calibri"/>
                <w:b w:val="0"/>
                <w:i w:val="0"/>
                <w:color w:val="1A1420"/>
                <w:sz w:val="17"/>
              </w:rPr>
              <w:t>Media</w:t>
            </w:r>
          </w:p>
        </w:tc>
      </w:tr>
      <w:tr>
        <w:tc>
          <w:tcPr>
            <w:tcW w:type="dxa" w:w="1350"/>
            <w:shd w:val="clear" w:color="auto" w:fill="EAF4FB"/>
          </w:tcPr>
          <w:p>
            <w:pPr>
              <w:spacing w:after="20" w:before="20"/>
              <w:jc w:val="left"/>
            </w:pPr>
            <w:r/>
            <w:r>
              <w:rPr>
                <w:rFonts w:ascii="Calibri" w:hAnsi="Calibri"/>
                <w:b/>
                <w:i w:val="0"/>
                <w:color w:val="1A1420"/>
                <w:sz w:val="17"/>
              </w:rPr>
              <w:t>Crear</w:t>
            </w:r>
          </w:p>
        </w:tc>
        <w:tc>
          <w:tcPr>
            <w:tcW w:type="dxa" w:w="750"/>
            <w:shd w:val="clear" w:color="auto" w:fill="EAF4FB"/>
          </w:tcPr>
          <w:p>
            <w:pPr>
              <w:spacing w:after="20" w:before="20"/>
              <w:jc w:val="center"/>
            </w:pPr>
            <w:r/>
            <w:r>
              <w:rPr>
                <w:rFonts w:ascii="Calibri" w:hAnsi="Calibri"/>
                <w:b w:val="0"/>
                <w:i w:val="0"/>
                <w:color w:val="1A1420"/>
                <w:sz w:val="17"/>
              </w:rPr>
              <w:t>FE</w:t>
            </w:r>
          </w:p>
        </w:tc>
        <w:tc>
          <w:tcPr>
            <w:tcW w:type="dxa" w:w="8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3</w:t>
            </w:r>
          </w:p>
        </w:tc>
        <w:tc>
          <w:tcPr>
            <w:tcW w:type="dxa" w:w="850"/>
            <w:shd w:val="clear" w:color="auto" w:fill="EAF4FB"/>
          </w:tcPr>
          <w:p>
            <w:pPr>
              <w:spacing w:after="20" w:before="20"/>
              <w:jc w:val="center"/>
            </w:pPr>
            <w:r/>
            <w:r>
              <w:rPr>
                <w:rFonts w:ascii="Calibri" w:hAnsi="Calibri"/>
                <w:b w:val="0"/>
                <w:i w:val="0"/>
                <w:color w:val="1A1420"/>
                <w:sz w:val="17"/>
              </w:rPr>
              <w:t>23</w:t>
            </w:r>
          </w:p>
        </w:tc>
        <w:tc>
          <w:tcPr>
            <w:tcW w:type="dxa" w:w="850"/>
            <w:shd w:val="clear" w:color="auto" w:fill="EAF4FB"/>
          </w:tcPr>
          <w:p>
            <w:pPr>
              <w:spacing w:after="20" w:before="20"/>
              <w:jc w:val="center"/>
            </w:pPr>
            <w:r/>
            <w:r>
              <w:rPr>
                <w:rFonts w:ascii="Calibri" w:hAnsi="Calibri"/>
                <w:b w:val="0"/>
                <w:i w:val="0"/>
                <w:color w:val="1A1420"/>
                <w:sz w:val="17"/>
              </w:rPr>
              <w:t>n/a</w:t>
            </w:r>
          </w:p>
        </w:tc>
        <w:tc>
          <w:tcPr>
            <w:tcW w:type="dxa" w:w="750"/>
            <w:shd w:val="clear" w:color="auto" w:fill="EAF4FB"/>
          </w:tcPr>
          <w:p>
            <w:pPr>
              <w:spacing w:after="20" w:before="20"/>
              <w:jc w:val="center"/>
            </w:pPr>
            <w:r/>
            <w:r>
              <w:rPr>
                <w:rFonts w:ascii="Calibri" w:hAnsi="Calibri"/>
                <w:b w:val="0"/>
                <w:i w:val="0"/>
                <w:color w:val="1A1420"/>
                <w:sz w:val="17"/>
              </w:rPr>
              <w:t>0</w:t>
            </w:r>
          </w:p>
        </w:tc>
        <w:tc>
          <w:tcPr>
            <w:tcW w:type="dxa" w:w="1150"/>
            <w:shd w:val="clear" w:color="auto" w:fill="EAF4FB"/>
          </w:tcPr>
          <w:p>
            <w:pPr>
              <w:spacing w:after="20" w:before="20"/>
              <w:jc w:val="center"/>
            </w:pPr>
            <w:r/>
            <w:r>
              <w:rPr>
                <w:rFonts w:ascii="Calibri" w:hAnsi="Calibri"/>
                <w:b w:val="0"/>
                <w:i w:val="0"/>
                <w:color w:val="1A1420"/>
                <w:sz w:val="17"/>
              </w:rPr>
              <w:t>~14 %</w:t>
            </w:r>
          </w:p>
        </w:tc>
        <w:tc>
          <w:tcPr>
            <w:tcW w:type="dxa" w:w="1760"/>
            <w:shd w:val="clear" w:color="auto" w:fill="EAF4FB"/>
          </w:tcPr>
          <w:p>
            <w:pPr>
              <w:spacing w:after="20" w:before="20"/>
              <w:jc w:val="center"/>
            </w:pPr>
            <w:r/>
            <w:r>
              <w:rPr>
                <w:rFonts w:ascii="Calibri" w:hAnsi="Calibri"/>
                <w:b w:val="0"/>
                <w:i w:val="0"/>
                <w:color w:val="1A1420"/>
                <w:sz w:val="17"/>
              </w:rPr>
              <w:t>Alta</w:t>
            </w:r>
          </w:p>
        </w:tc>
      </w:tr>
      <w:tr>
        <w:tc>
          <w:tcPr>
            <w:tcW w:type="dxa" w:w="1350"/>
            <w:shd w:val="clear" w:color="auto" w:fill="EAF4FB"/>
          </w:tcPr>
          <w:p>
            <w:pPr>
              <w:spacing w:after="20" w:before="20"/>
              <w:jc w:val="left"/>
            </w:pPr>
            <w:r/>
            <w:r>
              <w:rPr>
                <w:rFonts w:ascii="Calibri" w:hAnsi="Calibri"/>
                <w:b/>
                <w:i w:val="0"/>
                <w:color w:val="1A1420"/>
                <w:sz w:val="17"/>
              </w:rPr>
              <w:t>Consultar</w:t>
            </w:r>
          </w:p>
        </w:tc>
        <w:tc>
          <w:tcPr>
            <w:tcW w:type="dxa" w:w="750"/>
            <w:shd w:val="clear" w:color="auto" w:fill="EAF4FB"/>
          </w:tcPr>
          <w:p>
            <w:pPr>
              <w:spacing w:after="20" w:before="20"/>
              <w:jc w:val="center"/>
            </w:pPr>
            <w:r/>
            <w:r>
              <w:rPr>
                <w:rFonts w:ascii="Calibri" w:hAnsi="Calibri"/>
                <w:b w:val="0"/>
                <w:i w:val="0"/>
                <w:color w:val="1A1420"/>
                <w:sz w:val="17"/>
              </w:rPr>
              <w:t>FE</w:t>
            </w:r>
          </w:p>
        </w:tc>
        <w:tc>
          <w:tcPr>
            <w:tcW w:type="dxa" w:w="850"/>
            <w:shd w:val="clear" w:color="auto" w:fill="EAF4FB"/>
          </w:tcPr>
          <w:p>
            <w:pPr>
              <w:spacing w:after="20" w:before="20"/>
              <w:jc w:val="center"/>
            </w:pPr>
            <w:r/>
            <w:r>
              <w:rPr>
                <w:rFonts w:ascii="Calibri" w:hAnsi="Calibri"/>
                <w:b w:val="0"/>
                <w:i w:val="0"/>
                <w:color w:val="1A1420"/>
                <w:sz w:val="17"/>
              </w:rPr>
              <w:t>2</w:t>
            </w:r>
          </w:p>
        </w:tc>
        <w:tc>
          <w:tcPr>
            <w:tcW w:type="dxa" w:w="1050"/>
            <w:shd w:val="clear" w:color="auto" w:fill="EAF4FB"/>
          </w:tcPr>
          <w:p>
            <w:pPr>
              <w:spacing w:after="20" w:before="20"/>
              <w:jc w:val="center"/>
            </w:pPr>
            <w:r/>
            <w:r>
              <w:rPr>
                <w:rFonts w:ascii="Calibri" w:hAnsi="Calibri"/>
                <w:b w:val="0"/>
                <w:i w:val="0"/>
                <w:color w:val="1A1420"/>
                <w:sz w:val="17"/>
              </w:rPr>
              <w:t>1</w:t>
            </w:r>
          </w:p>
        </w:tc>
        <w:tc>
          <w:tcPr>
            <w:tcW w:type="dxa" w:w="850"/>
            <w:shd w:val="clear" w:color="auto" w:fill="EAF4FB"/>
          </w:tcPr>
          <w:p>
            <w:pPr>
              <w:spacing w:after="20" w:before="20"/>
              <w:jc w:val="center"/>
            </w:pPr>
            <w:r/>
            <w:r>
              <w:rPr>
                <w:rFonts w:ascii="Calibri" w:hAnsi="Calibri"/>
                <w:b w:val="0"/>
                <w:i w:val="0"/>
                <w:color w:val="1A1420"/>
                <w:sz w:val="17"/>
              </w:rPr>
              <w:t>12</w:t>
            </w:r>
          </w:p>
        </w:tc>
        <w:tc>
          <w:tcPr>
            <w:tcW w:type="dxa" w:w="850"/>
            <w:shd w:val="clear" w:color="auto" w:fill="EAF4FB"/>
          </w:tcPr>
          <w:p>
            <w:pPr>
              <w:spacing w:after="20" w:before="20"/>
              <w:jc w:val="center"/>
            </w:pPr>
            <w:r/>
            <w:r>
              <w:rPr>
                <w:rFonts w:ascii="Calibri" w:hAnsi="Calibri"/>
                <w:b w:val="0"/>
                <w:i w:val="0"/>
                <w:color w:val="1A1420"/>
                <w:sz w:val="17"/>
              </w:rPr>
              <w:t>n/a</w:t>
            </w:r>
          </w:p>
        </w:tc>
        <w:tc>
          <w:tcPr>
            <w:tcW w:type="dxa" w:w="750"/>
            <w:shd w:val="clear" w:color="auto" w:fill="EAF4FB"/>
          </w:tcPr>
          <w:p>
            <w:pPr>
              <w:spacing w:after="20" w:before="20"/>
              <w:jc w:val="center"/>
            </w:pPr>
            <w:r/>
            <w:r>
              <w:rPr>
                <w:rFonts w:ascii="Calibri" w:hAnsi="Calibri"/>
                <w:b w:val="0"/>
                <w:i w:val="0"/>
                <w:color w:val="1A1420"/>
                <w:sz w:val="17"/>
              </w:rPr>
              <w:t>0</w:t>
            </w:r>
          </w:p>
        </w:tc>
        <w:tc>
          <w:tcPr>
            <w:tcW w:type="dxa" w:w="1150"/>
            <w:shd w:val="clear" w:color="auto" w:fill="EAF4FB"/>
          </w:tcPr>
          <w:p>
            <w:pPr>
              <w:spacing w:after="20" w:before="20"/>
              <w:jc w:val="center"/>
            </w:pPr>
            <w:r/>
            <w:r>
              <w:rPr>
                <w:rFonts w:ascii="Calibri" w:hAnsi="Calibri"/>
                <w:b w:val="0"/>
                <w:i w:val="0"/>
                <w:color w:val="1A1420"/>
                <w:sz w:val="17"/>
              </w:rPr>
              <w:t>~14 %</w:t>
            </w:r>
          </w:p>
        </w:tc>
        <w:tc>
          <w:tcPr>
            <w:tcW w:type="dxa" w:w="1760"/>
            <w:shd w:val="clear" w:color="auto" w:fill="EAF4FB"/>
          </w:tcPr>
          <w:p>
            <w:pPr>
              <w:spacing w:after="20" w:before="20"/>
              <w:jc w:val="center"/>
            </w:pPr>
            <w:r/>
            <w:r>
              <w:rPr>
                <w:rFonts w:ascii="Calibri" w:hAnsi="Calibri"/>
                <w:b w:val="0"/>
                <w:i w:val="0"/>
                <w:color w:val="1A1420"/>
                <w:sz w:val="17"/>
              </w:rPr>
              <w:t>Alta</w:t>
            </w:r>
          </w:p>
        </w:tc>
      </w:tr>
      <w:tr>
        <w:tc>
          <w:tcPr>
            <w:tcW w:type="dxa" w:w="1350"/>
            <w:shd w:val="clear" w:color="auto" w:fill="EAF4FB"/>
          </w:tcPr>
          <w:p>
            <w:pPr>
              <w:spacing w:after="20" w:before="20"/>
              <w:jc w:val="left"/>
            </w:pPr>
            <w:r/>
            <w:r>
              <w:rPr>
                <w:rFonts w:ascii="Calibri" w:hAnsi="Calibri"/>
                <w:b/>
                <w:i w:val="0"/>
                <w:color w:val="1A1420"/>
                <w:sz w:val="17"/>
              </w:rPr>
              <w:t>Actualizar</w:t>
            </w:r>
          </w:p>
        </w:tc>
        <w:tc>
          <w:tcPr>
            <w:tcW w:type="dxa" w:w="750"/>
            <w:shd w:val="clear" w:color="auto" w:fill="EAF4FB"/>
          </w:tcPr>
          <w:p>
            <w:pPr>
              <w:spacing w:after="20" w:before="20"/>
              <w:jc w:val="center"/>
            </w:pPr>
            <w:r/>
            <w:r>
              <w:rPr>
                <w:rFonts w:ascii="Calibri" w:hAnsi="Calibri"/>
                <w:b w:val="0"/>
                <w:i w:val="0"/>
                <w:color w:val="1A1420"/>
                <w:sz w:val="17"/>
              </w:rPr>
              <w:t>FE</w:t>
            </w:r>
          </w:p>
        </w:tc>
        <w:tc>
          <w:tcPr>
            <w:tcW w:type="dxa" w:w="8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2</w:t>
            </w:r>
          </w:p>
        </w:tc>
        <w:tc>
          <w:tcPr>
            <w:tcW w:type="dxa" w:w="850"/>
            <w:shd w:val="clear" w:color="auto" w:fill="EAF4FB"/>
          </w:tcPr>
          <w:p>
            <w:pPr>
              <w:spacing w:after="20" w:before="20"/>
              <w:jc w:val="center"/>
            </w:pPr>
            <w:r/>
            <w:r>
              <w:rPr>
                <w:rFonts w:ascii="Calibri" w:hAnsi="Calibri"/>
                <w:b w:val="0"/>
                <w:i w:val="0"/>
                <w:color w:val="1A1420"/>
                <w:sz w:val="17"/>
              </w:rPr>
              <w:t>21</w:t>
            </w:r>
          </w:p>
        </w:tc>
        <w:tc>
          <w:tcPr>
            <w:tcW w:type="dxa" w:w="850"/>
            <w:shd w:val="clear" w:color="auto" w:fill="EAF4FB"/>
          </w:tcPr>
          <w:p>
            <w:pPr>
              <w:spacing w:after="20" w:before="20"/>
              <w:jc w:val="center"/>
            </w:pPr>
            <w:r/>
            <w:r>
              <w:rPr>
                <w:rFonts w:ascii="Calibri" w:hAnsi="Calibri"/>
                <w:b w:val="0"/>
                <w:i w:val="0"/>
                <w:color w:val="1A1420"/>
                <w:sz w:val="17"/>
              </w:rPr>
              <w:t>n/a</w:t>
            </w:r>
          </w:p>
        </w:tc>
        <w:tc>
          <w:tcPr>
            <w:tcW w:type="dxa" w:w="750"/>
            <w:shd w:val="clear" w:color="auto" w:fill="EAF4FB"/>
          </w:tcPr>
          <w:p>
            <w:pPr>
              <w:spacing w:after="20" w:before="20"/>
              <w:jc w:val="center"/>
            </w:pPr>
            <w:r/>
            <w:r>
              <w:rPr>
                <w:rFonts w:ascii="Calibri" w:hAnsi="Calibri"/>
                <w:b w:val="0"/>
                <w:i w:val="0"/>
                <w:color w:val="1A1420"/>
                <w:sz w:val="17"/>
              </w:rPr>
              <w:t>0</w:t>
            </w:r>
          </w:p>
        </w:tc>
        <w:tc>
          <w:tcPr>
            <w:tcW w:type="dxa" w:w="1150"/>
            <w:shd w:val="clear" w:color="auto" w:fill="EAF4FB"/>
          </w:tcPr>
          <w:p>
            <w:pPr>
              <w:spacing w:after="20" w:before="20"/>
              <w:jc w:val="center"/>
            </w:pPr>
            <w:r/>
            <w:r>
              <w:rPr>
                <w:rFonts w:ascii="Calibri" w:hAnsi="Calibri"/>
                <w:b w:val="0"/>
                <w:i w:val="0"/>
                <w:color w:val="1A1420"/>
                <w:sz w:val="17"/>
              </w:rPr>
              <w:t>~14 %</w:t>
            </w:r>
          </w:p>
        </w:tc>
        <w:tc>
          <w:tcPr>
            <w:tcW w:type="dxa" w:w="1760"/>
            <w:shd w:val="clear" w:color="auto" w:fill="EAF4FB"/>
          </w:tcPr>
          <w:p>
            <w:pPr>
              <w:spacing w:after="20" w:before="20"/>
              <w:jc w:val="center"/>
            </w:pPr>
            <w:r/>
            <w:r>
              <w:rPr>
                <w:rFonts w:ascii="Calibri" w:hAnsi="Calibri"/>
                <w:b w:val="0"/>
                <w:i w:val="0"/>
                <w:color w:val="1A1420"/>
                <w:sz w:val="17"/>
              </w:rPr>
              <w:t>Alta</w:t>
            </w:r>
          </w:p>
        </w:tc>
      </w:tr>
      <w:tr>
        <w:tc>
          <w:tcPr>
            <w:tcW w:type="dxa" w:w="1350"/>
            <w:shd w:val="clear" w:color="auto" w:fill="EAF4FB"/>
          </w:tcPr>
          <w:p>
            <w:pPr>
              <w:spacing w:after="20" w:before="20"/>
              <w:jc w:val="left"/>
            </w:pPr>
            <w:r/>
            <w:r>
              <w:rPr>
                <w:rFonts w:ascii="Calibri" w:hAnsi="Calibri"/>
                <w:b/>
                <w:i w:val="0"/>
                <w:color w:val="1A1420"/>
                <w:sz w:val="17"/>
              </w:rPr>
              <w:t>Eliminar</w:t>
            </w:r>
          </w:p>
        </w:tc>
        <w:tc>
          <w:tcPr>
            <w:tcW w:type="dxa" w:w="750"/>
            <w:shd w:val="clear" w:color="auto" w:fill="EAF4FB"/>
          </w:tcPr>
          <w:p>
            <w:pPr>
              <w:spacing w:after="20" w:before="20"/>
              <w:jc w:val="center"/>
            </w:pPr>
            <w:r/>
            <w:r>
              <w:rPr>
                <w:rFonts w:ascii="Calibri" w:hAnsi="Calibri"/>
                <w:b w:val="0"/>
                <w:i w:val="0"/>
                <w:color w:val="1A1420"/>
                <w:sz w:val="17"/>
              </w:rPr>
              <w:t>FE</w:t>
            </w:r>
          </w:p>
        </w:tc>
        <w:tc>
          <w:tcPr>
            <w:tcW w:type="dxa" w:w="8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2</w:t>
            </w:r>
          </w:p>
        </w:tc>
        <w:tc>
          <w:tcPr>
            <w:tcW w:type="dxa" w:w="850"/>
            <w:shd w:val="clear" w:color="auto" w:fill="EAF4FB"/>
          </w:tcPr>
          <w:p>
            <w:pPr>
              <w:spacing w:after="20" w:before="20"/>
              <w:jc w:val="center"/>
            </w:pPr>
            <w:r/>
            <w:r>
              <w:rPr>
                <w:rFonts w:ascii="Calibri" w:hAnsi="Calibri"/>
                <w:b w:val="0"/>
                <w:i w:val="0"/>
                <w:color w:val="1A1420"/>
                <w:sz w:val="17"/>
              </w:rPr>
              <w:t>18</w:t>
            </w:r>
          </w:p>
        </w:tc>
        <w:tc>
          <w:tcPr>
            <w:tcW w:type="dxa" w:w="850"/>
            <w:shd w:val="clear" w:color="auto" w:fill="EAF4FB"/>
          </w:tcPr>
          <w:p>
            <w:pPr>
              <w:spacing w:after="20" w:before="20"/>
              <w:jc w:val="center"/>
            </w:pPr>
            <w:r/>
            <w:r>
              <w:rPr>
                <w:rFonts w:ascii="Calibri" w:hAnsi="Calibri"/>
                <w:b w:val="0"/>
                <w:i w:val="0"/>
                <w:color w:val="1A1420"/>
                <w:sz w:val="17"/>
              </w:rPr>
              <w:t>n/a</w:t>
            </w:r>
          </w:p>
        </w:tc>
        <w:tc>
          <w:tcPr>
            <w:tcW w:type="dxa" w:w="750"/>
            <w:shd w:val="clear" w:color="auto" w:fill="EAF4FB"/>
          </w:tcPr>
          <w:p>
            <w:pPr>
              <w:spacing w:after="20" w:before="20"/>
              <w:jc w:val="center"/>
            </w:pPr>
            <w:r/>
            <w:r>
              <w:rPr>
                <w:rFonts w:ascii="Calibri" w:hAnsi="Calibri"/>
                <w:b w:val="0"/>
                <w:i w:val="0"/>
                <w:color w:val="1A1420"/>
                <w:sz w:val="17"/>
              </w:rPr>
              <w:t>0</w:t>
            </w:r>
          </w:p>
        </w:tc>
        <w:tc>
          <w:tcPr>
            <w:tcW w:type="dxa" w:w="1150"/>
            <w:shd w:val="clear" w:color="auto" w:fill="EAF4FB"/>
          </w:tcPr>
          <w:p>
            <w:pPr>
              <w:spacing w:after="20" w:before="20"/>
              <w:jc w:val="center"/>
            </w:pPr>
            <w:r/>
            <w:r>
              <w:rPr>
                <w:rFonts w:ascii="Calibri" w:hAnsi="Calibri"/>
                <w:b w:val="0"/>
                <w:i w:val="0"/>
                <w:color w:val="1A1420"/>
                <w:sz w:val="17"/>
              </w:rPr>
              <w:t>~14 %</w:t>
            </w:r>
          </w:p>
        </w:tc>
        <w:tc>
          <w:tcPr>
            <w:tcW w:type="dxa" w:w="1760"/>
            <w:shd w:val="clear" w:color="auto" w:fill="EAF4FB"/>
          </w:tcPr>
          <w:p>
            <w:pPr>
              <w:spacing w:after="20" w:before="20"/>
              <w:jc w:val="center"/>
            </w:pPr>
            <w:r/>
            <w:r>
              <w:rPr>
                <w:rFonts w:ascii="Calibri" w:hAnsi="Calibri"/>
                <w:b w:val="0"/>
                <w:i w:val="0"/>
                <w:color w:val="1A1420"/>
                <w:sz w:val="17"/>
              </w:rPr>
              <w:t>Alta</w:t>
            </w:r>
          </w:p>
        </w:tc>
      </w:tr>
      <w:tr>
        <w:tc>
          <w:tcPr>
            <w:tcW w:type="dxa" w:w="1350"/>
            <w:shd w:val="clear" w:color="auto" w:fill="EAF4FB"/>
          </w:tcPr>
          <w:p>
            <w:pPr>
              <w:spacing w:after="20" w:before="20"/>
              <w:jc w:val="left"/>
            </w:pPr>
            <w:r/>
            <w:r>
              <w:rPr>
                <w:rFonts w:ascii="Calibri" w:hAnsi="Calibri"/>
                <w:b/>
                <w:i w:val="0"/>
                <w:color w:val="1A1420"/>
                <w:sz w:val="17"/>
              </w:rPr>
              <w:t>Transferir</w:t>
            </w:r>
          </w:p>
        </w:tc>
        <w:tc>
          <w:tcPr>
            <w:tcW w:type="dxa" w:w="750"/>
            <w:shd w:val="clear" w:color="auto" w:fill="EAF4FB"/>
          </w:tcPr>
          <w:p>
            <w:pPr>
              <w:spacing w:after="20" w:before="20"/>
              <w:jc w:val="center"/>
            </w:pPr>
            <w:r/>
            <w:r>
              <w:rPr>
                <w:rFonts w:ascii="Calibri" w:hAnsi="Calibri"/>
                <w:b w:val="0"/>
                <w:i w:val="0"/>
                <w:color w:val="1A1420"/>
                <w:sz w:val="17"/>
              </w:rPr>
              <w:t>FE</w:t>
            </w:r>
          </w:p>
        </w:tc>
        <w:tc>
          <w:tcPr>
            <w:tcW w:type="dxa" w:w="850"/>
            <w:shd w:val="clear" w:color="auto" w:fill="EAF4FB"/>
          </w:tcPr>
          <w:p>
            <w:pPr>
              <w:spacing w:after="20" w:before="20"/>
              <w:jc w:val="center"/>
            </w:pPr>
            <w:r/>
            <w:r>
              <w:rPr>
                <w:rFonts w:ascii="Calibri" w:hAnsi="Calibri"/>
                <w:b w:val="0"/>
                <w:i w:val="0"/>
                <w:color w:val="1A1420"/>
                <w:sz w:val="17"/>
              </w:rPr>
              <w:t>3</w:t>
            </w:r>
          </w:p>
        </w:tc>
        <w:tc>
          <w:tcPr>
            <w:tcW w:type="dxa" w:w="1050"/>
            <w:shd w:val="clear" w:color="auto" w:fill="EAF4FB"/>
          </w:tcPr>
          <w:p>
            <w:pPr>
              <w:spacing w:after="20" w:before="20"/>
              <w:jc w:val="center"/>
            </w:pPr>
            <w:r/>
            <w:r>
              <w:rPr>
                <w:rFonts w:ascii="Calibri" w:hAnsi="Calibri"/>
                <w:b w:val="0"/>
                <w:i w:val="0"/>
                <w:color w:val="1A1420"/>
                <w:sz w:val="17"/>
              </w:rPr>
              <w:t>3</w:t>
            </w:r>
          </w:p>
        </w:tc>
        <w:tc>
          <w:tcPr>
            <w:tcW w:type="dxa" w:w="850"/>
            <w:shd w:val="clear" w:color="auto" w:fill="EAF4FB"/>
          </w:tcPr>
          <w:p>
            <w:pPr>
              <w:spacing w:after="20" w:before="20"/>
              <w:jc w:val="center"/>
            </w:pPr>
            <w:r/>
            <w:r>
              <w:rPr>
                <w:rFonts w:ascii="Calibri" w:hAnsi="Calibri"/>
                <w:b w:val="0"/>
                <w:i w:val="0"/>
                <w:color w:val="1A1420"/>
                <w:sz w:val="17"/>
              </w:rPr>
              <w:t>21</w:t>
            </w:r>
          </w:p>
        </w:tc>
        <w:tc>
          <w:tcPr>
            <w:tcW w:type="dxa" w:w="850"/>
            <w:shd w:val="clear" w:color="auto" w:fill="EAF4FB"/>
          </w:tcPr>
          <w:p>
            <w:pPr>
              <w:spacing w:after="20" w:before="20"/>
              <w:jc w:val="center"/>
            </w:pPr>
            <w:r/>
            <w:r>
              <w:rPr>
                <w:rFonts w:ascii="Calibri" w:hAnsi="Calibri"/>
                <w:b w:val="0"/>
                <w:i w:val="0"/>
                <w:color w:val="1A1420"/>
                <w:sz w:val="17"/>
              </w:rPr>
              <w:t>n/a</w:t>
            </w:r>
          </w:p>
        </w:tc>
        <w:tc>
          <w:tcPr>
            <w:tcW w:type="dxa" w:w="750"/>
            <w:shd w:val="clear" w:color="auto" w:fill="EAF4FB"/>
          </w:tcPr>
          <w:p>
            <w:pPr>
              <w:spacing w:after="20" w:before="20"/>
              <w:jc w:val="center"/>
            </w:pPr>
            <w:r/>
            <w:r>
              <w:rPr>
                <w:rFonts w:ascii="Calibri" w:hAnsi="Calibri"/>
                <w:b w:val="0"/>
                <w:i w:val="0"/>
                <w:color w:val="1A1420"/>
                <w:sz w:val="17"/>
              </w:rPr>
              <w:t>0</w:t>
            </w:r>
          </w:p>
        </w:tc>
        <w:tc>
          <w:tcPr>
            <w:tcW w:type="dxa" w:w="1150"/>
            <w:shd w:val="clear" w:color="auto" w:fill="EAF4FB"/>
          </w:tcPr>
          <w:p>
            <w:pPr>
              <w:spacing w:after="20" w:before="20"/>
              <w:jc w:val="center"/>
            </w:pPr>
            <w:r/>
            <w:r>
              <w:rPr>
                <w:rFonts w:ascii="Calibri" w:hAnsi="Calibri"/>
                <w:b w:val="0"/>
                <w:i w:val="0"/>
                <w:color w:val="1A1420"/>
                <w:sz w:val="17"/>
              </w:rPr>
              <w:t>~14 %</w:t>
            </w:r>
          </w:p>
        </w:tc>
        <w:tc>
          <w:tcPr>
            <w:tcW w:type="dxa" w:w="1760"/>
            <w:shd w:val="clear" w:color="auto" w:fill="EAF4FB"/>
          </w:tcPr>
          <w:p>
            <w:pPr>
              <w:spacing w:after="20" w:before="20"/>
              <w:jc w:val="center"/>
            </w:pPr>
            <w:r/>
            <w:r>
              <w:rPr>
                <w:rFonts w:ascii="Calibri" w:hAnsi="Calibri"/>
                <w:b w:val="0"/>
                <w:i w:val="0"/>
                <w:color w:val="1A1420"/>
                <w:sz w:val="17"/>
              </w:rPr>
              <w:t>Alta</w:t>
            </w:r>
          </w:p>
        </w:tc>
      </w:tr>
    </w:tbl>
    <w:p>
      <w:pPr>
        <w:spacing w:after="40"/>
      </w:pPr>
    </w:p>
    <w:p>
      <w:pPr>
        <w:spacing w:after="120"/>
        <w:jc w:val="both"/>
      </w:pPr>
      <w:r>
        <w:rPr>
          <w:b w:val="0"/>
          <w:i w:val="0"/>
          <w:color w:val="1A1420"/>
          <w:sz w:val="21"/>
        </w:rPr>
        <w:t>Interpretación: la mantenibilidad es alta en casi todo el módulo (clases planas, bajo acoplamiento, unidades cortas). La excepción vuelve a ser Actualizar: V(G) = 11 y cognitiva = 16 la marcan como de baja mantenibilidad. La duplicación —moderada— sugiere extraer un helper de notificación en backend y un envoltorio común de manejo de error en frontend.</w:t>
      </w:r>
    </w:p>
    <w:p>
      <w:pPr>
        <w:pStyle w:val="Heading2"/>
      </w:pPr>
      <w:r>
        <w:t>5.2 Fiabilidad</w:t>
      </w:r>
    </w:p>
    <w:p>
      <w:pPr>
        <w:spacing w:after="120"/>
        <w:jc w:val="left"/>
      </w:pPr>
      <w:r>
        <w:rPr>
          <w:b w:val="0"/>
          <w:i w:val="0"/>
          <w:color w:val="1A1420"/>
          <w:sz w:val="21"/>
        </w:rPr>
        <w:t>Mide la propensión a fallos del producto (diap. 31-32).</w:t>
      </w:r>
    </w:p>
    <w:p>
      <w:pPr>
        <w:spacing w:before="40" w:after="120"/>
        <w:ind w:left="360"/>
      </w:pPr>
      <w:r>
        <w:rPr>
          <w:rFonts w:ascii="Consolas" w:hAnsi="Consolas"/>
          <w:b/>
          <w:color w:val="5E0A99"/>
          <w:sz w:val="21"/>
        </w:rPr>
        <w:t xml:space="preserve">  Densidad de fallos = Defectos / KLoC        (defectos por cada 1000 líneas de código)  </w:t>
      </w:r>
    </w:p>
    <w:p>
      <w:pPr>
        <w:spacing w:after="120"/>
        <w:jc w:val="left"/>
      </w:pPr>
      <w:r>
        <w:rPr>
          <w:b w:val="0"/>
          <w:i w:val="0"/>
          <w:color w:val="1A1420"/>
          <w:sz w:val="21"/>
        </w:rPr>
        <w:t>De dónde sale: los 5 defectos de la sección 3.3 sobre el tamaño en KLoC de cada capa.</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650"/>
            <w:shd w:val="clear" w:color="auto" w:fill="820AD1"/>
          </w:tcPr>
          <w:p>
            <w:pPr>
              <w:spacing w:after="20" w:before="20"/>
              <w:jc w:val="center"/>
            </w:pPr>
            <w:r/>
            <w:r>
              <w:rPr>
                <w:rFonts w:ascii="Calibri" w:hAnsi="Calibri"/>
                <w:b/>
                <w:i w:val="0"/>
                <w:color w:val="FFFFFF"/>
                <w:sz w:val="18"/>
              </w:rPr>
              <w:t>Alcance</w:t>
            </w:r>
          </w:p>
        </w:tc>
        <w:tc>
          <w:tcPr>
            <w:tcW w:type="dxa" w:w="1200"/>
            <w:shd w:val="clear" w:color="auto" w:fill="820AD1"/>
          </w:tcPr>
          <w:p>
            <w:pPr>
              <w:spacing w:after="20" w:before="20"/>
              <w:jc w:val="center"/>
            </w:pPr>
            <w:r/>
            <w:r>
              <w:rPr>
                <w:rFonts w:ascii="Calibri" w:hAnsi="Calibri"/>
                <w:b/>
                <w:i w:val="0"/>
                <w:color w:val="FFFFFF"/>
                <w:sz w:val="18"/>
              </w:rPr>
              <w:t>Defectos</w:t>
            </w:r>
          </w:p>
        </w:tc>
        <w:tc>
          <w:tcPr>
            <w:tcW w:type="dxa" w:w="1200"/>
            <w:shd w:val="clear" w:color="auto" w:fill="820AD1"/>
          </w:tcPr>
          <w:p>
            <w:pPr>
              <w:spacing w:after="20" w:before="20"/>
              <w:jc w:val="center"/>
            </w:pPr>
            <w:r/>
            <w:r>
              <w:rPr>
                <w:rFonts w:ascii="Calibri" w:hAnsi="Calibri"/>
                <w:b/>
                <w:i w:val="0"/>
                <w:color w:val="FFFFFF"/>
                <w:sz w:val="18"/>
              </w:rPr>
              <w:t>SLOC</w:t>
            </w:r>
          </w:p>
        </w:tc>
        <w:tc>
          <w:tcPr>
            <w:tcW w:type="dxa" w:w="1300"/>
            <w:shd w:val="clear" w:color="auto" w:fill="820AD1"/>
          </w:tcPr>
          <w:p>
            <w:pPr>
              <w:spacing w:after="20" w:before="20"/>
              <w:jc w:val="center"/>
            </w:pPr>
            <w:r/>
            <w:r>
              <w:rPr>
                <w:rFonts w:ascii="Calibri" w:hAnsi="Calibri"/>
                <w:b/>
                <w:i w:val="0"/>
                <w:color w:val="FFFFFF"/>
                <w:sz w:val="18"/>
              </w:rPr>
              <w:t>KLoC</w:t>
            </w:r>
          </w:p>
        </w:tc>
        <w:tc>
          <w:tcPr>
            <w:tcW w:type="dxa" w:w="2200"/>
            <w:shd w:val="clear" w:color="auto" w:fill="820AD1"/>
          </w:tcPr>
          <w:p>
            <w:pPr>
              <w:spacing w:after="20" w:before="20"/>
              <w:jc w:val="center"/>
            </w:pPr>
            <w:r/>
            <w:r>
              <w:rPr>
                <w:rFonts w:ascii="Calibri" w:hAnsi="Calibri"/>
                <w:b/>
                <w:i w:val="0"/>
                <w:color w:val="FFFFFF"/>
                <w:sz w:val="18"/>
              </w:rPr>
              <w:t>Densidad (def/KLoC)</w:t>
            </w:r>
          </w:p>
        </w:tc>
        <w:tc>
          <w:tcPr>
            <w:tcW w:type="dxa" w:w="1810"/>
            <w:shd w:val="clear" w:color="auto" w:fill="820AD1"/>
          </w:tcPr>
          <w:p>
            <w:pPr>
              <w:spacing w:after="20" w:before="20"/>
              <w:jc w:val="center"/>
            </w:pPr>
            <w:r/>
            <w:r>
              <w:rPr>
                <w:rFonts w:ascii="Calibri" w:hAnsi="Calibri"/>
                <w:b/>
                <w:i w:val="0"/>
                <w:color w:val="FFFFFF"/>
                <w:sz w:val="18"/>
              </w:rPr>
              <w:t>Estado (umbral &gt; 5)</w:t>
            </w:r>
          </w:p>
        </w:tc>
      </w:tr>
      <w:tr>
        <w:tc>
          <w:tcPr>
            <w:tcW w:type="dxa" w:w="1650"/>
          </w:tcPr>
          <w:p>
            <w:pPr>
              <w:spacing w:after="20" w:before="20"/>
              <w:jc w:val="left"/>
            </w:pPr>
            <w:r/>
            <w:r>
              <w:rPr>
                <w:rFonts w:ascii="Calibri" w:hAnsi="Calibri"/>
                <w:b/>
                <w:i w:val="0"/>
                <w:color w:val="1A1420"/>
                <w:sz w:val="18"/>
              </w:rPr>
              <w:t>Backend</w:t>
            </w:r>
          </w:p>
        </w:tc>
        <w:tc>
          <w:tcPr>
            <w:tcW w:type="dxa" w:w="1200"/>
          </w:tcPr>
          <w:p>
            <w:pPr>
              <w:spacing w:after="20" w:before="20"/>
              <w:jc w:val="center"/>
            </w:pPr>
            <w:r/>
            <w:r>
              <w:rPr>
                <w:rFonts w:ascii="Calibri" w:hAnsi="Calibri"/>
                <w:b w:val="0"/>
                <w:i w:val="0"/>
                <w:color w:val="1A1420"/>
                <w:sz w:val="18"/>
              </w:rPr>
              <w:t>5</w:t>
            </w:r>
          </w:p>
        </w:tc>
        <w:tc>
          <w:tcPr>
            <w:tcW w:type="dxa" w:w="1200"/>
          </w:tcPr>
          <w:p>
            <w:pPr>
              <w:spacing w:after="20" w:before="20"/>
              <w:jc w:val="center"/>
            </w:pPr>
            <w:r/>
            <w:r>
              <w:rPr>
                <w:rFonts w:ascii="Calibri" w:hAnsi="Calibri"/>
                <w:b w:val="0"/>
                <w:i w:val="0"/>
                <w:color w:val="1A1420"/>
                <w:sz w:val="18"/>
              </w:rPr>
              <w:t>373</w:t>
            </w:r>
          </w:p>
        </w:tc>
        <w:tc>
          <w:tcPr>
            <w:tcW w:type="dxa" w:w="1300"/>
          </w:tcPr>
          <w:p>
            <w:pPr>
              <w:spacing w:after="20" w:before="20"/>
              <w:jc w:val="center"/>
            </w:pPr>
            <w:r/>
            <w:r>
              <w:rPr>
                <w:rFonts w:ascii="Calibri" w:hAnsi="Calibri"/>
                <w:b w:val="0"/>
                <w:i w:val="0"/>
                <w:color w:val="1A1420"/>
                <w:sz w:val="18"/>
              </w:rPr>
              <w:t>0,373</w:t>
            </w:r>
          </w:p>
        </w:tc>
        <w:tc>
          <w:tcPr>
            <w:tcW w:type="dxa" w:w="2200"/>
            <w:shd w:val="clear" w:color="auto" w:fill="FBE0E6"/>
          </w:tcPr>
          <w:p>
            <w:pPr>
              <w:spacing w:after="20" w:before="20"/>
              <w:jc w:val="center"/>
            </w:pPr>
            <w:r/>
            <w:r>
              <w:rPr>
                <w:rFonts w:ascii="Calibri" w:hAnsi="Calibri"/>
                <w:b w:val="0"/>
                <w:i w:val="0"/>
                <w:color w:val="1A1420"/>
                <w:sz w:val="18"/>
              </w:rPr>
              <w:t>13,4</w:t>
            </w:r>
          </w:p>
        </w:tc>
        <w:tc>
          <w:tcPr>
            <w:tcW w:type="dxa" w:w="1810"/>
            <w:shd w:val="clear" w:color="auto" w:fill="FBE0E6"/>
          </w:tcPr>
          <w:p>
            <w:pPr>
              <w:spacing w:after="20" w:before="20"/>
              <w:jc w:val="center"/>
            </w:pPr>
            <w:r/>
            <w:r>
              <w:rPr>
                <w:rFonts w:ascii="Calibri" w:hAnsi="Calibri"/>
                <w:b w:val="0"/>
                <w:i w:val="0"/>
                <w:color w:val="1A1420"/>
                <w:sz w:val="18"/>
              </w:rPr>
              <w:t>Alerta</w:t>
            </w:r>
          </w:p>
        </w:tc>
      </w:tr>
      <w:tr>
        <w:tc>
          <w:tcPr>
            <w:tcW w:type="dxa" w:w="1650"/>
          </w:tcPr>
          <w:p>
            <w:pPr>
              <w:spacing w:after="20" w:before="20"/>
              <w:jc w:val="left"/>
            </w:pPr>
            <w:r/>
            <w:r>
              <w:rPr>
                <w:rFonts w:ascii="Calibri" w:hAnsi="Calibri"/>
                <w:b/>
                <w:i w:val="0"/>
                <w:color w:val="1A1420"/>
                <w:sz w:val="18"/>
              </w:rPr>
              <w:t>Frontend</w:t>
            </w:r>
          </w:p>
        </w:tc>
        <w:tc>
          <w:tcPr>
            <w:tcW w:type="dxa" w:w="1200"/>
          </w:tcPr>
          <w:p>
            <w:pPr>
              <w:spacing w:after="20" w:before="20"/>
              <w:jc w:val="center"/>
            </w:pPr>
            <w:r/>
            <w:r>
              <w:rPr>
                <w:rFonts w:ascii="Calibri" w:hAnsi="Calibri"/>
                <w:b w:val="0"/>
                <w:i w:val="0"/>
                <w:color w:val="1A1420"/>
                <w:sz w:val="18"/>
              </w:rPr>
              <w:t>0</w:t>
            </w:r>
          </w:p>
        </w:tc>
        <w:tc>
          <w:tcPr>
            <w:tcW w:type="dxa" w:w="1200"/>
          </w:tcPr>
          <w:p>
            <w:pPr>
              <w:spacing w:after="20" w:before="20"/>
              <w:jc w:val="center"/>
            </w:pPr>
            <w:r/>
            <w:r>
              <w:rPr>
                <w:rFonts w:ascii="Calibri" w:hAnsi="Calibri"/>
                <w:b w:val="0"/>
                <w:i w:val="0"/>
                <w:color w:val="1A1420"/>
                <w:sz w:val="18"/>
              </w:rPr>
              <w:t>171</w:t>
            </w:r>
          </w:p>
        </w:tc>
        <w:tc>
          <w:tcPr>
            <w:tcW w:type="dxa" w:w="1300"/>
          </w:tcPr>
          <w:p>
            <w:pPr>
              <w:spacing w:after="20" w:before="20"/>
              <w:jc w:val="center"/>
            </w:pPr>
            <w:r/>
            <w:r>
              <w:rPr>
                <w:rFonts w:ascii="Calibri" w:hAnsi="Calibri"/>
                <w:b w:val="0"/>
                <w:i w:val="0"/>
                <w:color w:val="1A1420"/>
                <w:sz w:val="18"/>
              </w:rPr>
              <w:t>0,171</w:t>
            </w:r>
          </w:p>
        </w:tc>
        <w:tc>
          <w:tcPr>
            <w:tcW w:type="dxa" w:w="2200"/>
          </w:tcPr>
          <w:p>
            <w:pPr>
              <w:spacing w:after="20" w:before="20"/>
              <w:jc w:val="center"/>
            </w:pPr>
            <w:r/>
            <w:r>
              <w:rPr>
                <w:rFonts w:ascii="Calibri" w:hAnsi="Calibri"/>
                <w:b w:val="0"/>
                <w:i w:val="0"/>
                <w:color w:val="1A1420"/>
                <w:sz w:val="18"/>
              </w:rPr>
              <w:t>0,0</w:t>
            </w:r>
          </w:p>
        </w:tc>
        <w:tc>
          <w:tcPr>
            <w:tcW w:type="dxa" w:w="1810"/>
          </w:tcPr>
          <w:p>
            <w:pPr>
              <w:spacing w:after="20" w:before="20"/>
              <w:jc w:val="center"/>
            </w:pPr>
            <w:r/>
            <w:r>
              <w:rPr>
                <w:rFonts w:ascii="Calibri" w:hAnsi="Calibri"/>
                <w:b w:val="0"/>
                <w:i w:val="0"/>
                <w:color w:val="1A1420"/>
                <w:sz w:val="18"/>
              </w:rPr>
              <w:t>OK</w:t>
            </w:r>
          </w:p>
        </w:tc>
      </w:tr>
      <w:tr>
        <w:tc>
          <w:tcPr>
            <w:tcW w:type="dxa" w:w="1650"/>
            <w:shd w:val="clear" w:color="auto" w:fill="E6E1EC"/>
          </w:tcPr>
          <w:p>
            <w:pPr>
              <w:spacing w:after="20" w:before="20"/>
              <w:jc w:val="left"/>
            </w:pPr>
            <w:r/>
            <w:r>
              <w:rPr>
                <w:rFonts w:ascii="Calibri" w:hAnsi="Calibri"/>
                <w:b/>
                <w:i w:val="0"/>
                <w:color w:val="1A1420"/>
                <w:sz w:val="18"/>
              </w:rPr>
              <w:t>Combinado</w:t>
            </w:r>
          </w:p>
        </w:tc>
        <w:tc>
          <w:tcPr>
            <w:tcW w:type="dxa" w:w="1200"/>
            <w:shd w:val="clear" w:color="auto" w:fill="E6E1EC"/>
          </w:tcPr>
          <w:p>
            <w:pPr>
              <w:spacing w:after="20" w:before="20"/>
              <w:jc w:val="center"/>
            </w:pPr>
            <w:r/>
            <w:r>
              <w:rPr>
                <w:rFonts w:ascii="Calibri" w:hAnsi="Calibri"/>
                <w:b w:val="0"/>
                <w:i w:val="0"/>
                <w:color w:val="1A1420"/>
                <w:sz w:val="18"/>
              </w:rPr>
              <w:t>5</w:t>
            </w:r>
          </w:p>
        </w:tc>
        <w:tc>
          <w:tcPr>
            <w:tcW w:type="dxa" w:w="1200"/>
            <w:shd w:val="clear" w:color="auto" w:fill="E6E1EC"/>
          </w:tcPr>
          <w:p>
            <w:pPr>
              <w:spacing w:after="20" w:before="20"/>
              <w:jc w:val="center"/>
            </w:pPr>
            <w:r/>
            <w:r>
              <w:rPr>
                <w:rFonts w:ascii="Calibri" w:hAnsi="Calibri"/>
                <w:b w:val="0"/>
                <w:i w:val="0"/>
                <w:color w:val="1A1420"/>
                <w:sz w:val="18"/>
              </w:rPr>
              <w:t>544</w:t>
            </w:r>
          </w:p>
        </w:tc>
        <w:tc>
          <w:tcPr>
            <w:tcW w:type="dxa" w:w="1300"/>
            <w:shd w:val="clear" w:color="auto" w:fill="E6E1EC"/>
          </w:tcPr>
          <w:p>
            <w:pPr>
              <w:spacing w:after="20" w:before="20"/>
              <w:jc w:val="center"/>
            </w:pPr>
            <w:r/>
            <w:r>
              <w:rPr>
                <w:rFonts w:ascii="Calibri" w:hAnsi="Calibri"/>
                <w:b w:val="0"/>
                <w:i w:val="0"/>
                <w:color w:val="1A1420"/>
                <w:sz w:val="18"/>
              </w:rPr>
              <w:t>0,544</w:t>
            </w:r>
          </w:p>
        </w:tc>
        <w:tc>
          <w:tcPr>
            <w:tcW w:type="dxa" w:w="2200"/>
            <w:shd w:val="clear" w:color="auto" w:fill="FBE0E6"/>
          </w:tcPr>
          <w:p>
            <w:pPr>
              <w:spacing w:after="20" w:before="20"/>
              <w:jc w:val="center"/>
            </w:pPr>
            <w:r/>
            <w:r>
              <w:rPr>
                <w:rFonts w:ascii="Calibri" w:hAnsi="Calibri"/>
                <w:b w:val="0"/>
                <w:i w:val="0"/>
                <w:color w:val="1A1420"/>
                <w:sz w:val="18"/>
              </w:rPr>
              <w:t>9,2</w:t>
            </w:r>
          </w:p>
        </w:tc>
        <w:tc>
          <w:tcPr>
            <w:tcW w:type="dxa" w:w="1810"/>
            <w:shd w:val="clear" w:color="auto" w:fill="FBE0E6"/>
          </w:tcPr>
          <w:p>
            <w:pPr>
              <w:spacing w:after="20" w:before="20"/>
              <w:jc w:val="center"/>
            </w:pPr>
            <w:r/>
            <w:r>
              <w:rPr>
                <w:rFonts w:ascii="Calibri" w:hAnsi="Calibri"/>
                <w:b w:val="0"/>
                <w:i w:val="0"/>
                <w:color w:val="1A1420"/>
                <w:sz w:val="18"/>
              </w:rPr>
              <w:t>Alerta</w:t>
            </w:r>
          </w:p>
        </w:tc>
      </w:tr>
    </w:tbl>
    <w:p>
      <w:pPr>
        <w:spacing w:after="40"/>
      </w:pPr>
    </w:p>
    <w:p>
      <w:pPr>
        <w:spacing w:after="120"/>
        <w:jc w:val="both"/>
      </w:pPr>
      <w:r>
        <w:rPr>
          <w:b w:val="0"/>
          <w:i w:val="0"/>
          <w:color w:val="1A1420"/>
          <w:sz w:val="21"/>
        </w:rPr>
        <w:t>Interpretación: la densidad de fallos sobre el código bajo prueba supera el umbral de 5/KLoC (diap. 68 → calidad baja). Debe leerse con contexto: se trata de código pequeño (0,373 KLoC en backend), así que pocos defectos disparan la razón; y los 5 son casos límite de validación detectados en pruebas, no fallos en producción. Aun así, la señal es válida: la lógica de validación de Crear/Actualizar concentra defectos y conviene endurecerla.</w:t>
      </w:r>
    </w:p>
    <w:p>
      <w:pPr>
        <w:spacing w:after="120"/>
        <w:jc w:val="left"/>
      </w:pPr>
      <w:r>
        <w:rPr>
          <w:b w:val="0"/>
          <w:i w:val="0"/>
          <w:color w:val="1A1420"/>
          <w:sz w:val="21"/>
        </w:rPr>
        <w:t>Adicionalmente, la cobertura de pruebas de fiabilidad (diap. 31), medida como ramas de decisión cubiertas en backend, es 48/58 = 83 % — por encima del umbral del 80 %, arrastrada hacia abajo únicamente por Eliminar.</w:t>
      </w:r>
    </w:p>
    <w:p>
      <w:pPr>
        <w:pStyle w:val="Heading2"/>
      </w:pPr>
      <w:r>
        <w:t>5.3 Eficiencia de desempeño</w:t>
      </w:r>
    </w:p>
    <w:p>
      <w:pPr>
        <w:spacing w:after="120"/>
        <w:jc w:val="left"/>
      </w:pPr>
      <w:r>
        <w:rPr>
          <w:b w:val="0"/>
          <w:i w:val="0"/>
          <w:color w:val="1A1420"/>
          <w:sz w:val="21"/>
        </w:rPr>
        <w:t>Mide el rendimiento en tiempo y recursos (diap. 33-34). Estas métricas requieren una corrida instrumentada; el arnés de pruebas ya registra la duración de cada caso (campo duracionMs en support/runner.ts), de modo que el dato existe pero debe capturarse ejecutando la suite.</w:t>
      </w:r>
    </w:p>
    <w:p>
      <w:pPr>
        <w:spacing w:before="40" w:after="120"/>
        <w:ind w:left="360"/>
      </w:pPr>
      <w:r>
        <w:rPr>
          <w:rFonts w:ascii="Consolas" w:hAnsi="Consolas"/>
          <w:b/>
          <w:color w:val="5E0A99"/>
          <w:sz w:val="21"/>
        </w:rPr>
        <w:t xml:space="preserve">  Tiempo de respuesta = Tiempo de finalización − Tiempo de inicio  </w:t>
      </w:r>
    </w:p>
    <w:p>
      <w:pPr>
        <w:spacing w:before="40" w:after="120"/>
        <w:ind w:left="360"/>
      </w:pPr>
      <w:r>
        <w:rPr>
          <w:rFonts w:ascii="Consolas" w:hAnsi="Consolas"/>
          <w:b/>
          <w:color w:val="5E0A99"/>
          <w:sz w:val="21"/>
        </w:rPr>
        <w:t xml:space="preserve">  Uso de CPU = (Tiempo de CPU / Tiempo total) × 100      Uso de Memoria = (Mem. proceso / Mem. total) × 100  </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900"/>
            <w:shd w:val="clear" w:color="auto" w:fill="820AD1"/>
          </w:tcPr>
          <w:p>
            <w:pPr>
              <w:spacing w:after="20" w:before="20"/>
              <w:jc w:val="center"/>
            </w:pPr>
            <w:r/>
            <w:r>
              <w:rPr>
                <w:rFonts w:ascii="Calibri" w:hAnsi="Calibri"/>
                <w:b/>
                <w:i w:val="0"/>
                <w:color w:val="FFFFFF"/>
                <w:sz w:val="18"/>
              </w:rPr>
              <w:t>Métrica</w:t>
            </w:r>
          </w:p>
        </w:tc>
        <w:tc>
          <w:tcPr>
            <w:tcW w:type="dxa" w:w="2400"/>
            <w:shd w:val="clear" w:color="auto" w:fill="820AD1"/>
          </w:tcPr>
          <w:p>
            <w:pPr>
              <w:spacing w:after="20" w:before="20"/>
              <w:jc w:val="center"/>
            </w:pPr>
            <w:r/>
            <w:r>
              <w:rPr>
                <w:rFonts w:ascii="Calibri" w:hAnsi="Calibri"/>
                <w:b/>
                <w:i w:val="0"/>
                <w:color w:val="FFFFFF"/>
                <w:sz w:val="18"/>
              </w:rPr>
              <w:t>Fórmula</w:t>
            </w:r>
          </w:p>
        </w:tc>
        <w:tc>
          <w:tcPr>
            <w:tcW w:type="dxa" w:w="2760"/>
            <w:shd w:val="clear" w:color="auto" w:fill="820AD1"/>
          </w:tcPr>
          <w:p>
            <w:pPr>
              <w:spacing w:after="20" w:before="20"/>
              <w:jc w:val="center"/>
            </w:pPr>
            <w:r/>
            <w:r>
              <w:rPr>
                <w:rFonts w:ascii="Calibri" w:hAnsi="Calibri"/>
                <w:b/>
                <w:i w:val="0"/>
                <w:color w:val="FFFFFF"/>
                <w:sz w:val="18"/>
              </w:rPr>
              <w:t>Fuente del dato</w:t>
            </w:r>
          </w:p>
        </w:tc>
        <w:tc>
          <w:tcPr>
            <w:tcW w:type="dxa" w:w="1300"/>
            <w:shd w:val="clear" w:color="auto" w:fill="820AD1"/>
          </w:tcPr>
          <w:p>
            <w:pPr>
              <w:spacing w:after="20" w:before="20"/>
              <w:jc w:val="center"/>
            </w:pPr>
            <w:r/>
            <w:r>
              <w:rPr>
                <w:rFonts w:ascii="Calibri" w:hAnsi="Calibri"/>
                <w:b/>
                <w:i w:val="0"/>
                <w:color w:val="FFFFFF"/>
                <w:sz w:val="18"/>
              </w:rPr>
              <w:t>Estado</w:t>
            </w:r>
          </w:p>
        </w:tc>
      </w:tr>
      <w:tr>
        <w:tc>
          <w:tcPr>
            <w:tcW w:type="dxa" w:w="2900"/>
          </w:tcPr>
          <w:p>
            <w:pPr>
              <w:spacing w:after="20" w:before="20"/>
              <w:jc w:val="left"/>
            </w:pPr>
            <w:r/>
            <w:r>
              <w:rPr>
                <w:rFonts w:ascii="Calibri" w:hAnsi="Calibri"/>
                <w:b/>
                <w:i w:val="0"/>
                <w:color w:val="1A1420"/>
                <w:sz w:val="17"/>
              </w:rPr>
              <w:t>Tiempo de respuesta (backend)</w:t>
            </w:r>
          </w:p>
        </w:tc>
        <w:tc>
          <w:tcPr>
            <w:tcW w:type="dxa" w:w="2400"/>
          </w:tcPr>
          <w:p>
            <w:pPr>
              <w:spacing w:after="20" w:before="20"/>
              <w:jc w:val="left"/>
            </w:pPr>
            <w:r/>
            <w:r>
              <w:rPr>
                <w:rFonts w:ascii="Calibri" w:hAnsi="Calibri"/>
                <w:b w:val="0"/>
                <w:i w:val="0"/>
                <w:color w:val="1A1420"/>
                <w:sz w:val="17"/>
              </w:rPr>
              <w:t>T_fin − T_inicio</w:t>
            </w:r>
          </w:p>
        </w:tc>
        <w:tc>
          <w:tcPr>
            <w:tcW w:type="dxa" w:w="2760"/>
          </w:tcPr>
          <w:p>
            <w:pPr>
              <w:spacing w:after="20" w:before="20"/>
              <w:jc w:val="left"/>
            </w:pPr>
            <w:r/>
            <w:r>
              <w:rPr>
                <w:rFonts w:ascii="Calibri" w:hAnsi="Calibri"/>
                <w:b w:val="0"/>
                <w:i w:val="0"/>
                <w:color w:val="1A1420"/>
                <w:sz w:val="17"/>
              </w:rPr>
              <w:t>duracionMs por caso (support/runner.ts)</w:t>
            </w:r>
          </w:p>
        </w:tc>
        <w:tc>
          <w:tcPr>
            <w:tcW w:type="dxa" w:w="1300"/>
            <w:shd w:val="clear" w:color="auto" w:fill="FBF0DC"/>
          </w:tcPr>
          <w:p>
            <w:pPr>
              <w:spacing w:after="20" w:before="20"/>
              <w:jc w:val="center"/>
            </w:pPr>
            <w:r/>
            <w:r>
              <w:rPr>
                <w:rFonts w:ascii="Calibri" w:hAnsi="Calibri"/>
                <w:b w:val="0"/>
                <w:i w:val="0"/>
                <w:color w:val="1A1420"/>
                <w:sz w:val="17"/>
              </w:rPr>
              <w:t>Pendiente de corrida</w:t>
            </w:r>
          </w:p>
        </w:tc>
      </w:tr>
      <w:tr>
        <w:tc>
          <w:tcPr>
            <w:tcW w:type="dxa" w:w="2900"/>
          </w:tcPr>
          <w:p>
            <w:pPr>
              <w:spacing w:after="20" w:before="20"/>
              <w:jc w:val="left"/>
            </w:pPr>
            <w:r/>
            <w:r>
              <w:rPr>
                <w:rFonts w:ascii="Calibri" w:hAnsi="Calibri"/>
                <w:b/>
                <w:i w:val="0"/>
                <w:color w:val="1A1420"/>
                <w:sz w:val="17"/>
              </w:rPr>
              <w:t>Uso de CPU (si aplica)</w:t>
            </w:r>
          </w:p>
        </w:tc>
        <w:tc>
          <w:tcPr>
            <w:tcW w:type="dxa" w:w="2400"/>
          </w:tcPr>
          <w:p>
            <w:pPr>
              <w:spacing w:after="20" w:before="20"/>
              <w:jc w:val="left"/>
            </w:pPr>
            <w:r/>
            <w:r>
              <w:rPr>
                <w:rFonts w:ascii="Calibri" w:hAnsi="Calibri"/>
                <w:b w:val="0"/>
                <w:i w:val="0"/>
                <w:color w:val="1A1420"/>
                <w:sz w:val="17"/>
              </w:rPr>
              <w:t>(T_CPU / T_total) × 100</w:t>
            </w:r>
          </w:p>
        </w:tc>
        <w:tc>
          <w:tcPr>
            <w:tcW w:type="dxa" w:w="2760"/>
          </w:tcPr>
          <w:p>
            <w:pPr>
              <w:spacing w:after="20" w:before="20"/>
              <w:jc w:val="left"/>
            </w:pPr>
            <w:r/>
            <w:r>
              <w:rPr>
                <w:rFonts w:ascii="Calibri" w:hAnsi="Calibri"/>
                <w:b w:val="0"/>
                <w:i w:val="0"/>
                <w:color w:val="1A1420"/>
                <w:sz w:val="17"/>
              </w:rPr>
              <w:t>process.cpuUsage() durante la corrida</w:t>
            </w:r>
          </w:p>
        </w:tc>
        <w:tc>
          <w:tcPr>
            <w:tcW w:type="dxa" w:w="1300"/>
            <w:shd w:val="clear" w:color="auto" w:fill="FBF0DC"/>
          </w:tcPr>
          <w:p>
            <w:pPr>
              <w:spacing w:after="20" w:before="20"/>
              <w:jc w:val="center"/>
            </w:pPr>
            <w:r/>
            <w:r>
              <w:rPr>
                <w:rFonts w:ascii="Calibri" w:hAnsi="Calibri"/>
                <w:b w:val="0"/>
                <w:i w:val="0"/>
                <w:color w:val="1A1420"/>
                <w:sz w:val="17"/>
              </w:rPr>
              <w:t>Opcional</w:t>
            </w:r>
          </w:p>
        </w:tc>
      </w:tr>
      <w:tr>
        <w:tc>
          <w:tcPr>
            <w:tcW w:type="dxa" w:w="2900"/>
          </w:tcPr>
          <w:p>
            <w:pPr>
              <w:spacing w:after="20" w:before="20"/>
              <w:jc w:val="left"/>
            </w:pPr>
            <w:r/>
            <w:r>
              <w:rPr>
                <w:rFonts w:ascii="Calibri" w:hAnsi="Calibri"/>
                <w:b/>
                <w:i w:val="0"/>
                <w:color w:val="1A1420"/>
                <w:sz w:val="17"/>
              </w:rPr>
              <w:t>Uso de Memoria (si aplica)</w:t>
            </w:r>
          </w:p>
        </w:tc>
        <w:tc>
          <w:tcPr>
            <w:tcW w:type="dxa" w:w="2400"/>
          </w:tcPr>
          <w:p>
            <w:pPr>
              <w:spacing w:after="20" w:before="20"/>
              <w:jc w:val="left"/>
            </w:pPr>
            <w:r/>
            <w:r>
              <w:rPr>
                <w:rFonts w:ascii="Calibri" w:hAnsi="Calibri"/>
                <w:b w:val="0"/>
                <w:i w:val="0"/>
                <w:color w:val="1A1420"/>
                <w:sz w:val="17"/>
              </w:rPr>
              <w:t>(Mem_proc / Mem_total) × 100</w:t>
            </w:r>
          </w:p>
        </w:tc>
        <w:tc>
          <w:tcPr>
            <w:tcW w:type="dxa" w:w="2760"/>
          </w:tcPr>
          <w:p>
            <w:pPr>
              <w:spacing w:after="20" w:before="20"/>
              <w:jc w:val="left"/>
            </w:pPr>
            <w:r/>
            <w:r>
              <w:rPr>
                <w:rFonts w:ascii="Calibri" w:hAnsi="Calibri"/>
                <w:b w:val="0"/>
                <w:i w:val="0"/>
                <w:color w:val="1A1420"/>
                <w:sz w:val="17"/>
              </w:rPr>
              <w:t>process.memoryUsage() durante la corrida</w:t>
            </w:r>
          </w:p>
        </w:tc>
        <w:tc>
          <w:tcPr>
            <w:tcW w:type="dxa" w:w="1300"/>
            <w:shd w:val="clear" w:color="auto" w:fill="FBF0DC"/>
          </w:tcPr>
          <w:p>
            <w:pPr>
              <w:spacing w:after="20" w:before="20"/>
              <w:jc w:val="center"/>
            </w:pPr>
            <w:r/>
            <w:r>
              <w:rPr>
                <w:rFonts w:ascii="Calibri" w:hAnsi="Calibri"/>
                <w:b w:val="0"/>
                <w:i w:val="0"/>
                <w:color w:val="1A1420"/>
                <w:sz w:val="17"/>
              </w:rPr>
              <w:t>Opcional</w:t>
            </w:r>
          </w:p>
        </w:tc>
      </w:tr>
    </w:tbl>
    <w:p>
      <w:pPr>
        <w:spacing w:after="40"/>
      </w:pPr>
    </w:p>
    <w:p>
      <w:pPr>
        <w:spacing w:after="120"/>
        <w:jc w:val="both"/>
      </w:pPr>
      <w:r>
        <w:rPr>
          <w:b w:val="0"/>
          <w:i w:val="0"/>
          <w:color w:val="1A1420"/>
          <w:sz w:val="21"/>
        </w:rPr>
        <w:t>Interpretación: el umbral relevante (diap. 68) es latencia &gt; 4 s → optimizar. Como las pruebas unitarias no atraviesan la red, se espera un tiempo por caso muy por debajo de ese límite; el valor definitivo se llena al correr npm run test:unit. CPU y memoria están marcadas “si aplica” en la diapositiva 67, por lo que son opcionales para este entregable.</w:t>
      </w:r>
    </w:p>
    <w:p>
      <w:pPr>
        <w:pStyle w:val="Heading2"/>
      </w:pPr>
      <w:r>
        <w:t>5.4 Seguridad</w:t>
      </w:r>
    </w:p>
    <w:p>
      <w:pPr>
        <w:spacing w:after="120"/>
        <w:jc w:val="left"/>
      </w:pPr>
      <w:r>
        <w:rPr>
          <w:b w:val="0"/>
          <w:i w:val="0"/>
          <w:color w:val="1A1420"/>
          <w:sz w:val="21"/>
        </w:rPr>
        <w:t>Mide la exposición a vulnerabilidades (diap. 35-36).</w:t>
      </w:r>
    </w:p>
    <w:p>
      <w:pPr>
        <w:spacing w:before="40" w:after="120"/>
        <w:ind w:left="360"/>
      </w:pPr>
      <w:r>
        <w:rPr>
          <w:rFonts w:ascii="Consolas" w:hAnsi="Consolas"/>
          <w:b/>
          <w:color w:val="5E0A99"/>
          <w:sz w:val="21"/>
        </w:rPr>
        <w:t xml:space="preserve">  Índice de vulnerabilidad = Nº de vulnerabilidades / KLoC  </w:t>
      </w:r>
    </w:p>
    <w:p>
      <w:pPr>
        <w:spacing w:after="120"/>
        <w:jc w:val="left"/>
      </w:pPr>
      <w:r>
        <w:rPr>
          <w:b w:val="0"/>
          <w:i w:val="0"/>
          <w:color w:val="1A1420"/>
          <w:sz w:val="21"/>
        </w:rPr>
        <w:t>De dónde sale: no se detectaron vulnerabilidades por análisis estático en el módulo (la lógica de propiedad de la cuenta —assertBelongsTo— y los estados de cuenta están cubiertos por pruebas). Con 0 vulnerabilidades, el índice es 0 y no aplica puntuación CVSS.</w:t>
      </w:r>
    </w:p>
    <w:p>
      <w:pPr>
        <w:spacing w:before="40" w:after="120"/>
        <w:ind w:left="360"/>
      </w:pPr>
      <w:r>
        <w:rPr>
          <w:rFonts w:ascii="Consolas" w:hAnsi="Consolas"/>
          <w:b/>
          <w:color w:val="5E0A99"/>
          <w:sz w:val="21"/>
        </w:rPr>
        <w:t xml:space="preserve">  Índice = 0 / 0,544 KLoC = 0  </w:t>
      </w:r>
    </w:p>
    <w:p>
      <w:pPr>
        <w:spacing w:after="120"/>
        <w:jc w:val="both"/>
      </w:pPr>
      <w:r>
        <w:rPr>
          <w:b w:val="0"/>
          <w:i w:val="0"/>
          <w:color w:val="1A1420"/>
          <w:sz w:val="21"/>
        </w:rPr>
        <w:t>Interpretación: sin hallazgos de seguridad en el alcance analizado. Es un buen resultado, pero conviene complementarlo con una herramienta de análisis dedicada antes de producción.</w:t>
      </w:r>
    </w:p>
    <w:p>
      <w:r>
        <w:br w:type="page"/>
      </w:r>
    </w:p>
    <w:p>
      <w:pPr>
        <w:pStyle w:val="Heading1"/>
      </w:pPr>
      <w:r>
        <w:t>6. Matriz de trazabilidad vinculada a cobertura</w:t>
      </w:r>
    </w:p>
    <w:p>
      <w:pPr>
        <w:spacing w:after="120"/>
        <w:jc w:val="left"/>
      </w:pPr>
      <w:r>
        <w:rPr>
          <w:b w:val="0"/>
          <w:i w:val="0"/>
          <w:color w:val="1A1420"/>
          <w:sz w:val="21"/>
        </w:rPr>
        <w:t>Vincula cada funcionalidad con sus reglas de negocio, los casos de backend y caminos de frontend que la prueban, los defectos que reveló y su cobertura (Clase 09, diap. 67). Es la evidencia de que ningún requisito quedó sin prueba.</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250"/>
            <w:shd w:val="clear" w:color="auto" w:fill="820AD1"/>
          </w:tcPr>
          <w:p>
            <w:pPr>
              <w:spacing w:after="20" w:before="20"/>
              <w:jc w:val="center"/>
            </w:pPr>
            <w:r/>
            <w:r>
              <w:rPr>
                <w:rFonts w:ascii="Calibri" w:hAnsi="Calibri"/>
                <w:b/>
                <w:i w:val="0"/>
                <w:color w:val="FFFFFF"/>
                <w:sz w:val="18"/>
              </w:rPr>
              <w:t>Funcionalidad</w:t>
            </w:r>
          </w:p>
        </w:tc>
        <w:tc>
          <w:tcPr>
            <w:tcW w:type="dxa" w:w="2150"/>
            <w:shd w:val="clear" w:color="auto" w:fill="820AD1"/>
          </w:tcPr>
          <w:p>
            <w:pPr>
              <w:spacing w:after="20" w:before="20"/>
              <w:jc w:val="center"/>
            </w:pPr>
            <w:r/>
            <w:r>
              <w:rPr>
                <w:rFonts w:ascii="Calibri" w:hAnsi="Calibri"/>
                <w:b/>
                <w:i w:val="0"/>
                <w:color w:val="FFFFFF"/>
                <w:sz w:val="18"/>
              </w:rPr>
              <w:t>Regla / requisito principal</w:t>
            </w:r>
          </w:p>
        </w:tc>
        <w:tc>
          <w:tcPr>
            <w:tcW w:type="dxa" w:w="1650"/>
            <w:shd w:val="clear" w:color="auto" w:fill="820AD1"/>
          </w:tcPr>
          <w:p>
            <w:pPr>
              <w:spacing w:after="20" w:before="20"/>
              <w:jc w:val="center"/>
            </w:pPr>
            <w:r/>
            <w:r>
              <w:rPr>
                <w:rFonts w:ascii="Calibri" w:hAnsi="Calibri"/>
                <w:b/>
                <w:i w:val="0"/>
                <w:color w:val="FFFFFF"/>
                <w:sz w:val="18"/>
              </w:rPr>
              <w:t>Casos backend</w:t>
            </w:r>
          </w:p>
        </w:tc>
        <w:tc>
          <w:tcPr>
            <w:tcW w:type="dxa" w:w="1200"/>
            <w:shd w:val="clear" w:color="auto" w:fill="820AD1"/>
          </w:tcPr>
          <w:p>
            <w:pPr>
              <w:spacing w:after="20" w:before="20"/>
              <w:jc w:val="center"/>
            </w:pPr>
            <w:r/>
            <w:r>
              <w:rPr>
                <w:rFonts w:ascii="Calibri" w:hAnsi="Calibri"/>
                <w:b/>
                <w:i w:val="0"/>
                <w:color w:val="FFFFFF"/>
                <w:sz w:val="18"/>
              </w:rPr>
              <w:t>Caminos frontend</w:t>
            </w:r>
          </w:p>
        </w:tc>
        <w:tc>
          <w:tcPr>
            <w:tcW w:type="dxa" w:w="1150"/>
            <w:shd w:val="clear" w:color="auto" w:fill="820AD1"/>
          </w:tcPr>
          <w:p>
            <w:pPr>
              <w:spacing w:after="20" w:before="20"/>
              <w:jc w:val="center"/>
            </w:pPr>
            <w:r/>
            <w:r>
              <w:rPr>
                <w:rFonts w:ascii="Calibri" w:hAnsi="Calibri"/>
                <w:b/>
                <w:i w:val="0"/>
                <w:color w:val="FFFFFF"/>
                <w:sz w:val="18"/>
              </w:rPr>
              <w:t>Defectos</w:t>
            </w:r>
          </w:p>
        </w:tc>
        <w:tc>
          <w:tcPr>
            <w:tcW w:type="dxa" w:w="850"/>
            <w:shd w:val="clear" w:color="auto" w:fill="820AD1"/>
          </w:tcPr>
          <w:p>
            <w:pPr>
              <w:spacing w:after="20" w:before="20"/>
              <w:jc w:val="center"/>
            </w:pPr>
            <w:r/>
            <w:r>
              <w:rPr>
                <w:rFonts w:ascii="Calibri" w:hAnsi="Calibri"/>
                <w:b/>
                <w:i w:val="0"/>
                <w:color w:val="FFFFFF"/>
                <w:sz w:val="18"/>
              </w:rPr>
              <w:t>V(G) BE/FE</w:t>
            </w:r>
          </w:p>
        </w:tc>
        <w:tc>
          <w:tcPr>
            <w:tcW w:type="dxa" w:w="1110"/>
            <w:shd w:val="clear" w:color="auto" w:fill="820AD1"/>
          </w:tcPr>
          <w:p>
            <w:pPr>
              <w:spacing w:after="20" w:before="20"/>
              <w:jc w:val="center"/>
            </w:pPr>
            <w:r/>
            <w:r>
              <w:rPr>
                <w:rFonts w:ascii="Calibri" w:hAnsi="Calibri"/>
                <w:b/>
                <w:i w:val="0"/>
                <w:color w:val="FFFFFF"/>
                <w:sz w:val="18"/>
              </w:rPr>
              <w:t>Cobertura BE / FE</w:t>
            </w:r>
          </w:p>
        </w:tc>
      </w:tr>
      <w:tr>
        <w:tc>
          <w:tcPr>
            <w:tcW w:type="dxa" w:w="1250"/>
          </w:tcPr>
          <w:p>
            <w:pPr>
              <w:spacing w:after="20" w:before="20"/>
              <w:jc w:val="left"/>
            </w:pPr>
            <w:r/>
            <w:r>
              <w:rPr>
                <w:rFonts w:ascii="Calibri" w:hAnsi="Calibri"/>
                <w:b/>
                <w:i w:val="0"/>
                <w:color w:val="1A1420"/>
                <w:sz w:val="16"/>
              </w:rPr>
              <w:t>Crear</w:t>
            </w:r>
          </w:p>
        </w:tc>
        <w:tc>
          <w:tcPr>
            <w:tcW w:type="dxa" w:w="2150"/>
          </w:tcPr>
          <w:p>
            <w:pPr>
              <w:spacing w:after="20" w:before="20"/>
              <w:jc w:val="left"/>
            </w:pPr>
            <w:r/>
            <w:r>
              <w:rPr>
                <w:rFonts w:ascii="Calibri" w:hAnsi="Calibri"/>
                <w:b w:val="0"/>
                <w:i w:val="0"/>
                <w:color w:val="1A1420"/>
                <w:sz w:val="16"/>
              </w:rPr>
              <w:t>Monto ≥ 0, cuenta existente y operativa, dueño correcto, saldo suficiente</w:t>
            </w:r>
          </w:p>
        </w:tc>
        <w:tc>
          <w:tcPr>
            <w:tcW w:type="dxa" w:w="1650"/>
          </w:tcPr>
          <w:p>
            <w:pPr>
              <w:spacing w:after="20" w:before="20"/>
              <w:jc w:val="left"/>
            </w:pPr>
            <w:r/>
            <w:r>
              <w:rPr>
                <w:rFonts w:ascii="Calibri" w:hAnsi="Calibri"/>
                <w:b w:val="0"/>
                <w:i w:val="0"/>
                <w:color w:val="1A1420"/>
                <w:sz w:val="16"/>
              </w:rPr>
              <w:t>CU-CR-01…09; VU-01…09; PU-01…07</w:t>
            </w:r>
          </w:p>
        </w:tc>
        <w:tc>
          <w:tcPr>
            <w:tcW w:type="dxa" w:w="1200"/>
          </w:tcPr>
          <w:p>
            <w:pPr>
              <w:spacing w:after="20" w:before="20"/>
              <w:jc w:val="left"/>
            </w:pPr>
            <w:r/>
            <w:r>
              <w:rPr>
                <w:rFonts w:ascii="Calibri" w:hAnsi="Calibri"/>
                <w:b w:val="0"/>
                <w:i w:val="0"/>
                <w:color w:val="1A1420"/>
                <w:sz w:val="16"/>
              </w:rPr>
              <w:t>FE-CR-C1, C1b, C2, C3</w:t>
            </w:r>
          </w:p>
        </w:tc>
        <w:tc>
          <w:tcPr>
            <w:tcW w:type="dxa" w:w="1150"/>
            <w:shd w:val="clear" w:color="auto" w:fill="FBE0E6"/>
          </w:tcPr>
          <w:p>
            <w:pPr>
              <w:spacing w:after="20" w:before="20"/>
              <w:jc w:val="center"/>
            </w:pPr>
            <w:r/>
            <w:r>
              <w:rPr>
                <w:rFonts w:ascii="Calibri" w:hAnsi="Calibri"/>
                <w:b w:val="0"/>
                <w:i w:val="0"/>
                <w:color w:val="1A1420"/>
                <w:sz w:val="16"/>
              </w:rPr>
              <w:t>D-01,02,03,05</w:t>
            </w:r>
          </w:p>
        </w:tc>
        <w:tc>
          <w:tcPr>
            <w:tcW w:type="dxa" w:w="850"/>
          </w:tcPr>
          <w:p>
            <w:pPr>
              <w:spacing w:after="20" w:before="20"/>
              <w:jc w:val="center"/>
            </w:pPr>
            <w:r/>
            <w:r>
              <w:rPr>
                <w:rFonts w:ascii="Calibri" w:hAnsi="Calibri"/>
                <w:b w:val="0"/>
                <w:i w:val="0"/>
                <w:color w:val="1A1420"/>
                <w:sz w:val="16"/>
              </w:rPr>
              <w:t>6 / 3</w:t>
            </w:r>
          </w:p>
        </w:tc>
        <w:tc>
          <w:tcPr>
            <w:tcW w:type="dxa" w:w="1110"/>
          </w:tcPr>
          <w:p>
            <w:pPr>
              <w:spacing w:after="20" w:before="20"/>
              <w:jc w:val="center"/>
            </w:pPr>
            <w:r/>
            <w:r>
              <w:rPr>
                <w:rFonts w:ascii="Calibri" w:hAnsi="Calibri"/>
                <w:b w:val="0"/>
                <w:i w:val="0"/>
                <w:color w:val="1A1420"/>
                <w:sz w:val="16"/>
              </w:rPr>
              <w:t>90 % / 100 %</w:t>
            </w:r>
          </w:p>
        </w:tc>
      </w:tr>
      <w:tr>
        <w:tc>
          <w:tcPr>
            <w:tcW w:type="dxa" w:w="1250"/>
          </w:tcPr>
          <w:p>
            <w:pPr>
              <w:spacing w:after="20" w:before="20"/>
              <w:jc w:val="left"/>
            </w:pPr>
            <w:r/>
            <w:r>
              <w:rPr>
                <w:rFonts w:ascii="Calibri" w:hAnsi="Calibri"/>
                <w:b/>
                <w:i w:val="0"/>
                <w:color w:val="1A1420"/>
                <w:sz w:val="16"/>
              </w:rPr>
              <w:t>Consultar</w:t>
            </w:r>
          </w:p>
        </w:tc>
        <w:tc>
          <w:tcPr>
            <w:tcW w:type="dxa" w:w="2150"/>
          </w:tcPr>
          <w:p>
            <w:pPr>
              <w:spacing w:after="20" w:before="20"/>
              <w:jc w:val="left"/>
            </w:pPr>
            <w:r/>
            <w:r>
              <w:rPr>
                <w:rFonts w:ascii="Calibri" w:hAnsi="Calibri"/>
                <w:b w:val="0"/>
                <w:i w:val="0"/>
                <w:color w:val="1A1420"/>
                <w:sz w:val="16"/>
              </w:rPr>
              <w:t>Cuenta existente y del dueño; lista pública (o vacía)</w:t>
            </w:r>
          </w:p>
        </w:tc>
        <w:tc>
          <w:tcPr>
            <w:tcW w:type="dxa" w:w="1650"/>
          </w:tcPr>
          <w:p>
            <w:pPr>
              <w:spacing w:after="20" w:before="20"/>
              <w:jc w:val="left"/>
            </w:pPr>
            <w:r/>
            <w:r>
              <w:rPr>
                <w:rFonts w:ascii="Calibri" w:hAnsi="Calibri"/>
                <w:b w:val="0"/>
                <w:i w:val="0"/>
                <w:color w:val="1A1420"/>
                <w:sz w:val="16"/>
              </w:rPr>
              <w:t>CU-CO-01…05</w:t>
            </w:r>
          </w:p>
        </w:tc>
        <w:tc>
          <w:tcPr>
            <w:tcW w:type="dxa" w:w="1200"/>
          </w:tcPr>
          <w:p>
            <w:pPr>
              <w:spacing w:after="20" w:before="20"/>
              <w:jc w:val="left"/>
            </w:pPr>
            <w:r/>
            <w:r>
              <w:rPr>
                <w:rFonts w:ascii="Calibri" w:hAnsi="Calibri"/>
                <w:b w:val="0"/>
                <w:i w:val="0"/>
                <w:color w:val="1A1420"/>
                <w:sz w:val="16"/>
              </w:rPr>
              <w:t>FE-CO-C1, C1b, C2</w:t>
            </w:r>
          </w:p>
        </w:tc>
        <w:tc>
          <w:tcPr>
            <w:tcW w:type="dxa" w:w="1150"/>
          </w:tcPr>
          <w:p>
            <w:pPr>
              <w:spacing w:after="20" w:before="20"/>
              <w:jc w:val="center"/>
            </w:pPr>
            <w:r/>
            <w:r>
              <w:rPr>
                <w:rFonts w:ascii="Calibri" w:hAnsi="Calibri"/>
                <w:b w:val="0"/>
                <w:i w:val="0"/>
                <w:color w:val="1A1420"/>
                <w:sz w:val="16"/>
              </w:rPr>
              <w:t>—</w:t>
            </w:r>
          </w:p>
        </w:tc>
        <w:tc>
          <w:tcPr>
            <w:tcW w:type="dxa" w:w="850"/>
          </w:tcPr>
          <w:p>
            <w:pPr>
              <w:spacing w:after="20" w:before="20"/>
              <w:jc w:val="center"/>
            </w:pPr>
            <w:r/>
            <w:r>
              <w:rPr>
                <w:rFonts w:ascii="Calibri" w:hAnsi="Calibri"/>
                <w:b w:val="0"/>
                <w:i w:val="0"/>
                <w:color w:val="1A1420"/>
                <w:sz w:val="16"/>
              </w:rPr>
              <w:t>2 / 2</w:t>
            </w:r>
          </w:p>
        </w:tc>
        <w:tc>
          <w:tcPr>
            <w:tcW w:type="dxa" w:w="1110"/>
          </w:tcPr>
          <w:p>
            <w:pPr>
              <w:spacing w:after="20" w:before="20"/>
              <w:jc w:val="center"/>
            </w:pPr>
            <w:r/>
            <w:r>
              <w:rPr>
                <w:rFonts w:ascii="Calibri" w:hAnsi="Calibri"/>
                <w:b w:val="0"/>
                <w:i w:val="0"/>
                <w:color w:val="1A1420"/>
                <w:sz w:val="16"/>
              </w:rPr>
              <w:t>100 % / 100 %</w:t>
            </w:r>
          </w:p>
        </w:tc>
      </w:tr>
      <w:tr>
        <w:tc>
          <w:tcPr>
            <w:tcW w:type="dxa" w:w="1250"/>
          </w:tcPr>
          <w:p>
            <w:pPr>
              <w:spacing w:after="20" w:before="20"/>
              <w:jc w:val="left"/>
            </w:pPr>
            <w:r/>
            <w:r>
              <w:rPr>
                <w:rFonts w:ascii="Calibri" w:hAnsi="Calibri"/>
                <w:b/>
                <w:i w:val="0"/>
                <w:color w:val="1A1420"/>
                <w:sz w:val="16"/>
              </w:rPr>
              <w:t>Actualizar</w:t>
            </w:r>
          </w:p>
        </w:tc>
        <w:tc>
          <w:tcPr>
            <w:tcW w:type="dxa" w:w="2150"/>
          </w:tcPr>
          <w:p>
            <w:pPr>
              <w:spacing w:after="20" w:before="20"/>
              <w:jc w:val="left"/>
            </w:pPr>
            <w:r/>
            <w:r>
              <w:rPr>
                <w:rFonts w:ascii="Calibri" w:hAnsi="Calibri"/>
                <w:b w:val="0"/>
                <w:i w:val="0"/>
                <w:color w:val="1A1420"/>
                <w:sz w:val="16"/>
              </w:rPr>
              <w:t>Nombre no vacío, monto ≥ 0, ≥ 1 cambio, saldo suficiente, dueño y cuenta operativa</w:t>
            </w:r>
          </w:p>
        </w:tc>
        <w:tc>
          <w:tcPr>
            <w:tcW w:type="dxa" w:w="1650"/>
          </w:tcPr>
          <w:p>
            <w:pPr>
              <w:spacing w:after="20" w:before="20"/>
              <w:jc w:val="left"/>
            </w:pPr>
            <w:r/>
            <w:r>
              <w:rPr>
                <w:rFonts w:ascii="Calibri" w:hAnsi="Calibri"/>
                <w:b w:val="0"/>
                <w:i w:val="0"/>
                <w:color w:val="1A1420"/>
                <w:sz w:val="16"/>
              </w:rPr>
              <w:t>CU-AC-01…10; VU-10…12; PU-08…13</w:t>
            </w:r>
          </w:p>
        </w:tc>
        <w:tc>
          <w:tcPr>
            <w:tcW w:type="dxa" w:w="1200"/>
          </w:tcPr>
          <w:p>
            <w:pPr>
              <w:spacing w:after="20" w:before="20"/>
              <w:jc w:val="left"/>
            </w:pPr>
            <w:r/>
            <w:r>
              <w:rPr>
                <w:rFonts w:ascii="Calibri" w:hAnsi="Calibri"/>
                <w:b w:val="0"/>
                <w:i w:val="0"/>
                <w:color w:val="1A1420"/>
                <w:sz w:val="16"/>
              </w:rPr>
              <w:t>FE-AC-C1, C2, C3</w:t>
            </w:r>
          </w:p>
        </w:tc>
        <w:tc>
          <w:tcPr>
            <w:tcW w:type="dxa" w:w="1150"/>
            <w:shd w:val="clear" w:color="auto" w:fill="FBE0E6"/>
          </w:tcPr>
          <w:p>
            <w:pPr>
              <w:spacing w:after="20" w:before="20"/>
              <w:jc w:val="center"/>
            </w:pPr>
            <w:r/>
            <w:r>
              <w:rPr>
                <w:rFonts w:ascii="Calibri" w:hAnsi="Calibri"/>
                <w:b w:val="0"/>
                <w:i w:val="0"/>
                <w:color w:val="1A1420"/>
                <w:sz w:val="16"/>
              </w:rPr>
              <w:t>D-04</w:t>
            </w:r>
          </w:p>
        </w:tc>
        <w:tc>
          <w:tcPr>
            <w:tcW w:type="dxa" w:w="850"/>
          </w:tcPr>
          <w:p>
            <w:pPr>
              <w:spacing w:after="20" w:before="20"/>
              <w:jc w:val="center"/>
            </w:pPr>
            <w:r/>
            <w:r>
              <w:rPr>
                <w:rFonts w:ascii="Calibri" w:hAnsi="Calibri"/>
                <w:b w:val="0"/>
                <w:i w:val="0"/>
                <w:color w:val="1A1420"/>
                <w:sz w:val="16"/>
              </w:rPr>
              <w:t>11 / 3</w:t>
            </w:r>
          </w:p>
        </w:tc>
        <w:tc>
          <w:tcPr>
            <w:tcW w:type="dxa" w:w="1110"/>
          </w:tcPr>
          <w:p>
            <w:pPr>
              <w:spacing w:after="20" w:before="20"/>
              <w:jc w:val="center"/>
            </w:pPr>
            <w:r/>
            <w:r>
              <w:rPr>
                <w:rFonts w:ascii="Calibri" w:hAnsi="Calibri"/>
                <w:b w:val="0"/>
                <w:i w:val="0"/>
                <w:color w:val="1A1420"/>
                <w:sz w:val="16"/>
              </w:rPr>
              <w:t>85 % / 100 %</w:t>
            </w:r>
          </w:p>
        </w:tc>
      </w:tr>
      <w:tr>
        <w:tc>
          <w:tcPr>
            <w:tcW w:type="dxa" w:w="1250"/>
          </w:tcPr>
          <w:p>
            <w:pPr>
              <w:spacing w:after="20" w:before="20"/>
              <w:jc w:val="left"/>
            </w:pPr>
            <w:r/>
            <w:r>
              <w:rPr>
                <w:rFonts w:ascii="Calibri" w:hAnsi="Calibri"/>
                <w:b/>
                <w:i w:val="0"/>
                <w:color w:val="1A1420"/>
                <w:sz w:val="16"/>
              </w:rPr>
              <w:t>Eliminar</w:t>
            </w:r>
          </w:p>
        </w:tc>
        <w:tc>
          <w:tcPr>
            <w:tcW w:type="dxa" w:w="2150"/>
          </w:tcPr>
          <w:p>
            <w:pPr>
              <w:spacing w:after="20" w:before="20"/>
              <w:jc w:val="left"/>
            </w:pPr>
            <w:r/>
            <w:r>
              <w:rPr>
                <w:rFonts w:ascii="Calibri" w:hAnsi="Calibri"/>
                <w:b w:val="0"/>
                <w:i w:val="0"/>
                <w:color w:val="1A1420"/>
                <w:sz w:val="16"/>
              </w:rPr>
              <w:t>Bolsillo existente, dueño correcto, cuenta operativa; devuelve el saldo</w:t>
            </w:r>
          </w:p>
        </w:tc>
        <w:tc>
          <w:tcPr>
            <w:tcW w:type="dxa" w:w="1650"/>
          </w:tcPr>
          <w:p>
            <w:pPr>
              <w:spacing w:after="20" w:before="20"/>
              <w:jc w:val="left"/>
            </w:pPr>
            <w:r/>
            <w:r>
              <w:rPr>
                <w:rFonts w:ascii="Calibri" w:hAnsi="Calibri"/>
                <w:b w:val="0"/>
                <w:i w:val="0"/>
                <w:color w:val="1A1420"/>
                <w:sz w:val="16"/>
              </w:rPr>
              <w:t>CU-EL-01…04</w:t>
            </w:r>
          </w:p>
        </w:tc>
        <w:tc>
          <w:tcPr>
            <w:tcW w:type="dxa" w:w="1200"/>
          </w:tcPr>
          <w:p>
            <w:pPr>
              <w:spacing w:after="20" w:before="20"/>
              <w:jc w:val="left"/>
            </w:pPr>
            <w:r/>
            <w:r>
              <w:rPr>
                <w:rFonts w:ascii="Calibri" w:hAnsi="Calibri"/>
                <w:b w:val="0"/>
                <w:i w:val="0"/>
                <w:color w:val="1A1420"/>
                <w:sz w:val="16"/>
              </w:rPr>
              <w:t>FE-EL-C1, C2, C3</w:t>
            </w:r>
          </w:p>
        </w:tc>
        <w:tc>
          <w:tcPr>
            <w:tcW w:type="dxa" w:w="1150"/>
          </w:tcPr>
          <w:p>
            <w:pPr>
              <w:spacing w:after="20" w:before="20"/>
              <w:jc w:val="center"/>
            </w:pPr>
            <w:r/>
            <w:r>
              <w:rPr>
                <w:rFonts w:ascii="Calibri" w:hAnsi="Calibri"/>
                <w:b w:val="0"/>
                <w:i w:val="0"/>
                <w:color w:val="1A1420"/>
                <w:sz w:val="16"/>
              </w:rPr>
              <w:t>—</w:t>
            </w:r>
          </w:p>
        </w:tc>
        <w:tc>
          <w:tcPr>
            <w:tcW w:type="dxa" w:w="850"/>
          </w:tcPr>
          <w:p>
            <w:pPr>
              <w:spacing w:after="20" w:before="20"/>
              <w:jc w:val="center"/>
            </w:pPr>
            <w:r/>
            <w:r>
              <w:rPr>
                <w:rFonts w:ascii="Calibri" w:hAnsi="Calibri"/>
                <w:b w:val="0"/>
                <w:i w:val="0"/>
                <w:color w:val="1A1420"/>
                <w:sz w:val="16"/>
              </w:rPr>
              <w:t>5 / 3</w:t>
            </w:r>
          </w:p>
        </w:tc>
        <w:tc>
          <w:tcPr>
            <w:tcW w:type="dxa" w:w="1110"/>
          </w:tcPr>
          <w:p>
            <w:pPr>
              <w:spacing w:after="20" w:before="20"/>
              <w:jc w:val="center"/>
            </w:pPr>
            <w:r/>
            <w:r>
              <w:rPr>
                <w:rFonts w:ascii="Calibri" w:hAnsi="Calibri"/>
                <w:b w:val="0"/>
                <w:i w:val="0"/>
                <w:color w:val="1A1420"/>
                <w:sz w:val="16"/>
              </w:rPr>
              <w:t>63 % / 100 %</w:t>
            </w:r>
          </w:p>
        </w:tc>
      </w:tr>
      <w:tr>
        <w:tc>
          <w:tcPr>
            <w:tcW w:type="dxa" w:w="1250"/>
          </w:tcPr>
          <w:p>
            <w:pPr>
              <w:spacing w:after="20" w:before="20"/>
              <w:jc w:val="left"/>
            </w:pPr>
            <w:r/>
            <w:r>
              <w:rPr>
                <w:rFonts w:ascii="Calibri" w:hAnsi="Calibri"/>
                <w:b/>
                <w:i w:val="0"/>
                <w:color w:val="1A1420"/>
                <w:sz w:val="16"/>
              </w:rPr>
              <w:t>Transferir</w:t>
            </w:r>
          </w:p>
        </w:tc>
        <w:tc>
          <w:tcPr>
            <w:tcW w:type="dxa" w:w="2150"/>
          </w:tcPr>
          <w:p>
            <w:pPr>
              <w:spacing w:after="20" w:before="20"/>
              <w:jc w:val="left"/>
            </w:pPr>
            <w:r/>
            <w:r>
              <w:rPr>
                <w:rFonts w:ascii="Calibri" w:hAnsi="Calibri"/>
                <w:b w:val="0"/>
                <w:i w:val="0"/>
                <w:color w:val="1A1420"/>
                <w:sz w:val="16"/>
              </w:rPr>
              <w:t>Monto &gt; 0, bolsillos distintos y de la misma cuenta, dueño, saldo de origen suficiente</w:t>
            </w:r>
          </w:p>
        </w:tc>
        <w:tc>
          <w:tcPr>
            <w:tcW w:type="dxa" w:w="1650"/>
          </w:tcPr>
          <w:p>
            <w:pPr>
              <w:spacing w:after="20" w:before="20"/>
              <w:jc w:val="left"/>
            </w:pPr>
            <w:r/>
            <w:r>
              <w:rPr>
                <w:rFonts w:ascii="Calibri" w:hAnsi="Calibri"/>
                <w:b w:val="0"/>
                <w:i w:val="0"/>
                <w:color w:val="1A1420"/>
                <w:sz w:val="16"/>
              </w:rPr>
              <w:t>CU-TR-01…09; VU-13…15</w:t>
            </w:r>
          </w:p>
        </w:tc>
        <w:tc>
          <w:tcPr>
            <w:tcW w:type="dxa" w:w="1200"/>
          </w:tcPr>
          <w:p>
            <w:pPr>
              <w:spacing w:after="20" w:before="20"/>
              <w:jc w:val="left"/>
            </w:pPr>
            <w:r/>
            <w:r>
              <w:rPr>
                <w:rFonts w:ascii="Calibri" w:hAnsi="Calibri"/>
                <w:b w:val="0"/>
                <w:i w:val="0"/>
                <w:color w:val="1A1420"/>
                <w:sz w:val="16"/>
              </w:rPr>
              <w:t>FE-TR-C1, C1b, C2, C3</w:t>
            </w:r>
          </w:p>
        </w:tc>
        <w:tc>
          <w:tcPr>
            <w:tcW w:type="dxa" w:w="1150"/>
          </w:tcPr>
          <w:p>
            <w:pPr>
              <w:spacing w:after="20" w:before="20"/>
              <w:jc w:val="center"/>
            </w:pPr>
            <w:r/>
            <w:r>
              <w:rPr>
                <w:rFonts w:ascii="Calibri" w:hAnsi="Calibri"/>
                <w:b w:val="0"/>
                <w:i w:val="0"/>
                <w:color w:val="1A1420"/>
                <w:sz w:val="16"/>
              </w:rPr>
              <w:t>—</w:t>
            </w:r>
          </w:p>
        </w:tc>
        <w:tc>
          <w:tcPr>
            <w:tcW w:type="dxa" w:w="850"/>
          </w:tcPr>
          <w:p>
            <w:pPr>
              <w:spacing w:after="20" w:before="20"/>
              <w:jc w:val="center"/>
            </w:pPr>
            <w:r/>
            <w:r>
              <w:rPr>
                <w:rFonts w:ascii="Calibri" w:hAnsi="Calibri"/>
                <w:b w:val="0"/>
                <w:i w:val="0"/>
                <w:color w:val="1A1420"/>
                <w:sz w:val="16"/>
              </w:rPr>
              <w:t>10 / 3</w:t>
            </w:r>
          </w:p>
        </w:tc>
        <w:tc>
          <w:tcPr>
            <w:tcW w:type="dxa" w:w="1110"/>
          </w:tcPr>
          <w:p>
            <w:pPr>
              <w:spacing w:after="20" w:before="20"/>
              <w:jc w:val="center"/>
            </w:pPr>
            <w:r/>
            <w:r>
              <w:rPr>
                <w:rFonts w:ascii="Calibri" w:hAnsi="Calibri"/>
                <w:b w:val="0"/>
                <w:i w:val="0"/>
                <w:color w:val="1A1420"/>
                <w:sz w:val="16"/>
              </w:rPr>
              <w:t>83 % / 100 %</w:t>
            </w:r>
          </w:p>
        </w:tc>
      </w:tr>
    </w:tbl>
    <w:p>
      <w:pPr>
        <w:spacing w:after="40"/>
      </w:pPr>
    </w:p>
    <w:p>
      <w:pPr>
        <w:pStyle w:val="Heading1"/>
      </w:pPr>
      <w:r>
        <w:t>7. Interpretación global y conclusiones</w:t>
      </w:r>
    </w:p>
    <w:p>
      <w:pPr>
        <w:spacing w:after="120"/>
        <w:jc w:val="left"/>
      </w:pPr>
      <w:r>
        <w:rPr>
          <w:b w:val="0"/>
          <w:i w:val="0"/>
          <w:color w:val="1A1420"/>
          <w:sz w:val="21"/>
        </w:rPr>
        <w:t>Aplicando los umbrales de la diapositiva 68 al conjunto de resultados, el módulo Bolsillos está en buen estado general, con tres puntos de atención concretos:</w:t>
      </w:r>
    </w:p>
    <w:p>
      <w:pPr>
        <w:pStyle w:val="ListBullet"/>
        <w:spacing w:after="60"/>
      </w:pPr>
      <w:r>
        <w:rPr>
          <w:b/>
          <w:color w:val="1A1420"/>
          <w:sz w:val="21"/>
        </w:rPr>
        <w:t xml:space="preserve">Actualizar (UpdatePocket): </w:t>
      </w:r>
      <w:r>
        <w:rPr>
          <w:color w:val="1A1420"/>
          <w:sz w:val="21"/>
        </w:rPr>
        <w:t>V(G) = 11 (alto riesgo) y complejidad cognitiva = 16 (crítica). Es la unidad más compleja del módulo y la principal candidata a refactorizar dividiéndola.</w:t>
      </w:r>
    </w:p>
    <w:p>
      <w:pPr>
        <w:pStyle w:val="ListBullet"/>
        <w:spacing w:after="60"/>
      </w:pPr>
      <w:r>
        <w:rPr>
          <w:b/>
          <w:color w:val="1A1420"/>
          <w:sz w:val="21"/>
        </w:rPr>
        <w:t xml:space="preserve">Eliminar (backend): </w:t>
      </w:r>
      <w:r>
        <w:rPr>
          <w:color w:val="1A1420"/>
          <w:sz w:val="21"/>
        </w:rPr>
        <w:t>cobertura de decisión 63 %, por debajo del 80 %. Falta un caso con la cuenta bloqueada para cerrar las ramas de estado.</w:t>
      </w:r>
    </w:p>
    <w:p>
      <w:pPr>
        <w:pStyle w:val="ListBullet"/>
        <w:spacing w:after="60"/>
      </w:pPr>
      <w:r>
        <w:rPr>
          <w:b/>
          <w:color w:val="1A1420"/>
          <w:sz w:val="21"/>
        </w:rPr>
        <w:t xml:space="preserve">Transferir (frontend): </w:t>
      </w:r>
      <w:r>
        <w:rPr>
          <w:color w:val="1A1420"/>
          <w:sz w:val="21"/>
        </w:rPr>
        <w:t>cobertura de caminos 100 %, pero cobertura de condición 67 % en el nodo de validación de entradas. Falta el caso “fromPocketId vacío”.</w:t>
      </w:r>
    </w:p>
    <w:p>
      <w:pPr>
        <w:spacing w:after="120"/>
        <w:jc w:val="both"/>
      </w:pPr>
      <w:r>
        <w:rPr>
          <w:b w:val="0"/>
          <w:i w:val="0"/>
          <w:color w:val="1A1420"/>
          <w:sz w:val="21"/>
        </w:rPr>
        <w:t>Fortalezas: cobertura de requisitos 100 %, cobertura de caminos del frontend 100 %, ausencia de vulnerabilidades en el análisis estático, y un diseño de baja complejidad y bajo acoplamiento en 4 de las 5 funcionalidades. Los 5 defectos detectados son evidencia de que la suite es efectiva: se concentran en la validación de Crear/Actualizar y son corregibles sin afectar la arquitectura.</w:t>
      </w:r>
    </w:p>
    <w:p>
      <w:pPr>
        <w:spacing w:after="120"/>
        <w:jc w:val="both"/>
      </w:pPr>
      <w:r>
        <w:rPr>
          <w:b w:val="0"/>
          <w:i w:val="0"/>
          <w:color w:val="1A1420"/>
          <w:sz w:val="21"/>
        </w:rPr>
        <w:t>Pendiente para completar el 100 % del entregable: ejecutar la suite instrumentada para llenar el tiempo de respuesta (sección 5.3) a partir del campo duracionMs que el arnés ya registra.</w:t>
      </w:r>
    </w:p>
    <w:p>
      <w:r>
        <w:br w:type="page"/>
      </w:r>
    </w:p>
    <w:p>
      <w:pPr>
        <w:pStyle w:val="Heading1"/>
      </w:pPr>
      <w:r>
        <w:t>8. Anexo — Fórmulas (Clase 09) y fuentes de cada dato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50"/>
            <w:shd w:val="clear" w:color="auto" w:fill="820AD1"/>
          </w:tcPr>
          <w:p>
            <w:pPr>
              <w:spacing w:after="20" w:before="20"/>
              <w:jc w:val="center"/>
            </w:pPr>
            <w:r/>
            <w:r>
              <w:rPr>
                <w:rFonts w:ascii="Calibri" w:hAnsi="Calibri"/>
                <w:b/>
                <w:i w:val="0"/>
                <w:color w:val="FFFFFF"/>
                <w:sz w:val="18"/>
              </w:rPr>
              <w:t>Métrica</w:t>
            </w:r>
          </w:p>
        </w:tc>
        <w:tc>
          <w:tcPr>
            <w:tcW w:type="dxa" w:w="3200"/>
            <w:shd w:val="clear" w:color="auto" w:fill="820AD1"/>
          </w:tcPr>
          <w:p>
            <w:pPr>
              <w:spacing w:after="20" w:before="20"/>
              <w:jc w:val="center"/>
            </w:pPr>
            <w:r/>
            <w:r>
              <w:rPr>
                <w:rFonts w:ascii="Calibri" w:hAnsi="Calibri"/>
                <w:b/>
                <w:i w:val="0"/>
                <w:color w:val="FFFFFF"/>
                <w:sz w:val="18"/>
              </w:rPr>
              <w:t>Fórmula (diapositiva)</w:t>
            </w:r>
          </w:p>
        </w:tc>
        <w:tc>
          <w:tcPr>
            <w:tcW w:type="dxa" w:w="1810"/>
            <w:shd w:val="clear" w:color="auto" w:fill="820AD1"/>
          </w:tcPr>
          <w:p>
            <w:pPr>
              <w:spacing w:after="20" w:before="20"/>
              <w:jc w:val="center"/>
            </w:pPr>
            <w:r/>
            <w:r>
              <w:rPr>
                <w:rFonts w:ascii="Calibri" w:hAnsi="Calibri"/>
                <w:b/>
                <w:i w:val="0"/>
                <w:color w:val="FFFFFF"/>
                <w:sz w:val="18"/>
              </w:rPr>
              <w:t>Categoría</w:t>
            </w:r>
          </w:p>
        </w:tc>
        <w:tc>
          <w:tcPr>
            <w:tcW w:type="dxa" w:w="2000"/>
            <w:shd w:val="clear" w:color="auto" w:fill="820AD1"/>
          </w:tcPr>
          <w:p>
            <w:pPr>
              <w:spacing w:after="20" w:before="20"/>
              <w:jc w:val="center"/>
            </w:pPr>
            <w:r/>
            <w:r>
              <w:rPr>
                <w:rFonts w:ascii="Calibri" w:hAnsi="Calibri"/>
                <w:b/>
                <w:i w:val="0"/>
                <w:color w:val="FFFFFF"/>
                <w:sz w:val="18"/>
              </w:rPr>
              <w:t>Fuente del dato</w:t>
            </w:r>
          </w:p>
        </w:tc>
      </w:tr>
      <w:tr>
        <w:tc>
          <w:tcPr>
            <w:tcW w:type="dxa" w:w="2350"/>
          </w:tcPr>
          <w:p>
            <w:pPr>
              <w:spacing w:after="20" w:before="20"/>
              <w:jc w:val="left"/>
            </w:pPr>
            <w:r/>
            <w:r>
              <w:rPr>
                <w:rFonts w:ascii="Calibri" w:hAnsi="Calibri"/>
                <w:b/>
                <w:i w:val="0"/>
                <w:color w:val="1A1420"/>
                <w:sz w:val="16"/>
              </w:rPr>
              <w:t>Complejidad ciclomática</w:t>
            </w:r>
          </w:p>
        </w:tc>
        <w:tc>
          <w:tcPr>
            <w:tcW w:type="dxa" w:w="3200"/>
          </w:tcPr>
          <w:p>
            <w:pPr>
              <w:spacing w:after="20" w:before="20"/>
              <w:jc w:val="left"/>
            </w:pPr>
            <w:r/>
            <w:r>
              <w:rPr>
                <w:rFonts w:ascii="Calibri" w:hAnsi="Calibri"/>
                <w:b w:val="0"/>
                <w:i w:val="0"/>
                <w:color w:val="1A1420"/>
                <w:sz w:val="16"/>
              </w:rPr>
              <w:t>V(G) = E − N + 2P · V(G) = D+1 (diap. 20)</w:t>
            </w:r>
          </w:p>
        </w:tc>
        <w:tc>
          <w:tcPr>
            <w:tcW w:type="dxa" w:w="1810"/>
          </w:tcPr>
          <w:p>
            <w:pPr>
              <w:spacing w:after="20" w:before="20"/>
              <w:jc w:val="left"/>
            </w:pPr>
            <w:r/>
            <w:r>
              <w:rPr>
                <w:rFonts w:ascii="Calibri" w:hAnsi="Calibri"/>
                <w:b w:val="0"/>
                <w:i w:val="0"/>
                <w:color w:val="1A1420"/>
                <w:sz w:val="16"/>
              </w:rPr>
              <w:t>Estructural</w:t>
            </w:r>
          </w:p>
        </w:tc>
        <w:tc>
          <w:tcPr>
            <w:tcW w:type="dxa" w:w="2000"/>
          </w:tcPr>
          <w:p>
            <w:pPr>
              <w:spacing w:after="20" w:before="20"/>
              <w:jc w:val="left"/>
            </w:pPr>
            <w:r/>
            <w:r>
              <w:rPr>
                <w:rFonts w:ascii="Calibri" w:hAnsi="Calibri"/>
                <w:b w:val="0"/>
                <w:i w:val="0"/>
                <w:color w:val="1A1420"/>
                <w:sz w:val="16"/>
              </w:rPr>
              <w:t>if/catch por método</w:t>
            </w:r>
          </w:p>
        </w:tc>
      </w:tr>
      <w:tr>
        <w:tc>
          <w:tcPr>
            <w:tcW w:type="dxa" w:w="2350"/>
          </w:tcPr>
          <w:p>
            <w:pPr>
              <w:spacing w:after="20" w:before="20"/>
              <w:jc w:val="left"/>
            </w:pPr>
            <w:r/>
            <w:r>
              <w:rPr>
                <w:rFonts w:ascii="Calibri" w:hAnsi="Calibri"/>
                <w:b/>
                <w:i w:val="0"/>
                <w:color w:val="1A1420"/>
                <w:sz w:val="16"/>
              </w:rPr>
              <w:t>Complejidad cognitiva</w:t>
            </w:r>
          </w:p>
        </w:tc>
        <w:tc>
          <w:tcPr>
            <w:tcW w:type="dxa" w:w="3200"/>
          </w:tcPr>
          <w:p>
            <w:pPr>
              <w:spacing w:after="20" w:before="20"/>
              <w:jc w:val="left"/>
            </w:pPr>
            <w:r/>
            <w:r>
              <w:rPr>
                <w:rFonts w:ascii="Calibri" w:hAnsi="Calibri"/>
                <w:b w:val="0"/>
                <w:i w:val="0"/>
                <w:color w:val="1A1420"/>
                <w:sz w:val="16"/>
              </w:rPr>
              <w:t>Incrementos por decisión/anidamiento (diap. 21-23)</w:t>
            </w:r>
          </w:p>
        </w:tc>
        <w:tc>
          <w:tcPr>
            <w:tcW w:type="dxa" w:w="1810"/>
          </w:tcPr>
          <w:p>
            <w:pPr>
              <w:spacing w:after="20" w:before="20"/>
              <w:jc w:val="left"/>
            </w:pPr>
            <w:r/>
            <w:r>
              <w:rPr>
                <w:rFonts w:ascii="Calibri" w:hAnsi="Calibri"/>
                <w:b w:val="0"/>
                <w:i w:val="0"/>
                <w:color w:val="1A1420"/>
                <w:sz w:val="16"/>
              </w:rPr>
              <w:t>Estructural</w:t>
            </w:r>
          </w:p>
        </w:tc>
        <w:tc>
          <w:tcPr>
            <w:tcW w:type="dxa" w:w="2000"/>
          </w:tcPr>
          <w:p>
            <w:pPr>
              <w:spacing w:after="20" w:before="20"/>
              <w:jc w:val="left"/>
            </w:pPr>
            <w:r/>
            <w:r>
              <w:rPr>
                <w:rFonts w:ascii="Calibri" w:hAnsi="Calibri"/>
                <w:b w:val="0"/>
                <w:i w:val="0"/>
                <w:color w:val="1A1420"/>
                <w:sz w:val="16"/>
              </w:rPr>
              <w:t>anidamiento por método</w:t>
            </w:r>
          </w:p>
        </w:tc>
      </w:tr>
      <w:tr>
        <w:tc>
          <w:tcPr>
            <w:tcW w:type="dxa" w:w="2350"/>
          </w:tcPr>
          <w:p>
            <w:pPr>
              <w:spacing w:after="20" w:before="20"/>
              <w:jc w:val="left"/>
            </w:pPr>
            <w:r/>
            <w:r>
              <w:rPr>
                <w:rFonts w:ascii="Calibri" w:hAnsi="Calibri"/>
                <w:b/>
                <w:i w:val="0"/>
                <w:color w:val="1A1420"/>
                <w:sz w:val="16"/>
              </w:rPr>
              <w:t>Cobertura de caminos</w:t>
            </w:r>
          </w:p>
        </w:tc>
        <w:tc>
          <w:tcPr>
            <w:tcW w:type="dxa" w:w="3200"/>
          </w:tcPr>
          <w:p>
            <w:pPr>
              <w:spacing w:after="20" w:before="20"/>
              <w:jc w:val="left"/>
            </w:pPr>
            <w:r/>
            <w:r>
              <w:rPr>
                <w:rFonts w:ascii="Calibri" w:hAnsi="Calibri"/>
                <w:b w:val="0"/>
                <w:i w:val="0"/>
                <w:color w:val="1A1420"/>
                <w:sz w:val="16"/>
              </w:rPr>
              <w:t>Ejecutados / totales × 100 (diap. 11-12)</w:t>
            </w:r>
          </w:p>
        </w:tc>
        <w:tc>
          <w:tcPr>
            <w:tcW w:type="dxa" w:w="1810"/>
          </w:tcPr>
          <w:p>
            <w:pPr>
              <w:spacing w:after="20" w:before="20"/>
              <w:jc w:val="left"/>
            </w:pPr>
            <w:r/>
            <w:r>
              <w:rPr>
                <w:rFonts w:ascii="Calibri" w:hAnsi="Calibri"/>
                <w:b w:val="0"/>
                <w:i w:val="0"/>
                <w:color w:val="1A1420"/>
                <w:sz w:val="16"/>
              </w:rPr>
              <w:t>Pruebas</w:t>
            </w:r>
          </w:p>
        </w:tc>
        <w:tc>
          <w:tcPr>
            <w:tcW w:type="dxa" w:w="2000"/>
          </w:tcPr>
          <w:p>
            <w:pPr>
              <w:spacing w:after="20" w:before="20"/>
              <w:jc w:val="left"/>
            </w:pPr>
            <w:r/>
            <w:r>
              <w:rPr>
                <w:rFonts w:ascii="Calibri" w:hAnsi="Calibri"/>
                <w:b w:val="0"/>
                <w:i w:val="0"/>
                <w:color w:val="1A1420"/>
                <w:sz w:val="16"/>
              </w:rPr>
              <w:t>*.paths.ts (Frontend.drawio)</w:t>
            </w:r>
          </w:p>
        </w:tc>
      </w:tr>
      <w:tr>
        <w:tc>
          <w:tcPr>
            <w:tcW w:type="dxa" w:w="2350"/>
          </w:tcPr>
          <w:p>
            <w:pPr>
              <w:spacing w:after="20" w:before="20"/>
              <w:jc w:val="left"/>
            </w:pPr>
            <w:r/>
            <w:r>
              <w:rPr>
                <w:rFonts w:ascii="Calibri" w:hAnsi="Calibri"/>
                <w:b/>
                <w:i w:val="0"/>
                <w:color w:val="1A1420"/>
                <w:sz w:val="16"/>
              </w:rPr>
              <w:t>Cobertura de requisitos</w:t>
            </w:r>
          </w:p>
        </w:tc>
        <w:tc>
          <w:tcPr>
            <w:tcW w:type="dxa" w:w="3200"/>
          </w:tcPr>
          <w:p>
            <w:pPr>
              <w:spacing w:after="20" w:before="20"/>
              <w:jc w:val="left"/>
            </w:pPr>
            <w:r/>
            <w:r>
              <w:rPr>
                <w:rFonts w:ascii="Calibri" w:hAnsi="Calibri"/>
                <w:b w:val="0"/>
                <w:i w:val="0"/>
                <w:color w:val="1A1420"/>
                <w:sz w:val="16"/>
              </w:rPr>
              <w:t>Cubiertos / total (diap. 17)</w:t>
            </w:r>
          </w:p>
        </w:tc>
        <w:tc>
          <w:tcPr>
            <w:tcW w:type="dxa" w:w="1810"/>
          </w:tcPr>
          <w:p>
            <w:pPr>
              <w:spacing w:after="20" w:before="20"/>
              <w:jc w:val="left"/>
            </w:pPr>
            <w:r/>
            <w:r>
              <w:rPr>
                <w:rFonts w:ascii="Calibri" w:hAnsi="Calibri"/>
                <w:b w:val="0"/>
                <w:i w:val="0"/>
                <w:color w:val="1A1420"/>
                <w:sz w:val="16"/>
              </w:rPr>
              <w:t>Pruebas</w:t>
            </w:r>
          </w:p>
        </w:tc>
        <w:tc>
          <w:tcPr>
            <w:tcW w:type="dxa" w:w="2000"/>
          </w:tcPr>
          <w:p>
            <w:pPr>
              <w:spacing w:after="20" w:before="20"/>
              <w:jc w:val="left"/>
            </w:pPr>
            <w:r/>
            <w:r>
              <w:rPr>
                <w:rFonts w:ascii="Calibri" w:hAnsi="Calibri"/>
                <w:b w:val="0"/>
                <w:i w:val="0"/>
                <w:color w:val="1A1420"/>
                <w:sz w:val="16"/>
              </w:rPr>
              <w:t>5 funcionalidades con pruebas</w:t>
            </w:r>
          </w:p>
        </w:tc>
      </w:tr>
      <w:tr>
        <w:tc>
          <w:tcPr>
            <w:tcW w:type="dxa" w:w="2350"/>
          </w:tcPr>
          <w:p>
            <w:pPr>
              <w:spacing w:after="20" w:before="20"/>
              <w:jc w:val="left"/>
            </w:pPr>
            <w:r/>
            <w:r>
              <w:rPr>
                <w:rFonts w:ascii="Calibri" w:hAnsi="Calibri"/>
                <w:b/>
                <w:i w:val="0"/>
                <w:color w:val="1A1420"/>
                <w:sz w:val="16"/>
              </w:rPr>
              <w:t>Cobertura de decisión</w:t>
            </w:r>
          </w:p>
        </w:tc>
        <w:tc>
          <w:tcPr>
            <w:tcW w:type="dxa" w:w="3200"/>
          </w:tcPr>
          <w:p>
            <w:pPr>
              <w:spacing w:after="20" w:before="20"/>
              <w:jc w:val="left"/>
            </w:pPr>
            <w:r/>
            <w:r>
              <w:rPr>
                <w:rFonts w:ascii="Calibri" w:hAnsi="Calibri"/>
                <w:b w:val="0"/>
                <w:i w:val="0"/>
                <w:color w:val="1A1420"/>
                <w:sz w:val="16"/>
              </w:rPr>
              <w:t>Ramas ejecutadas / totales (diap. 11)</w:t>
            </w:r>
          </w:p>
        </w:tc>
        <w:tc>
          <w:tcPr>
            <w:tcW w:type="dxa" w:w="1810"/>
          </w:tcPr>
          <w:p>
            <w:pPr>
              <w:spacing w:after="20" w:before="20"/>
              <w:jc w:val="left"/>
            </w:pPr>
            <w:r/>
            <w:r>
              <w:rPr>
                <w:rFonts w:ascii="Calibri" w:hAnsi="Calibri"/>
                <w:b w:val="0"/>
                <w:i w:val="0"/>
                <w:color w:val="1A1420"/>
                <w:sz w:val="16"/>
              </w:rPr>
              <w:t>Pruebas</w:t>
            </w:r>
          </w:p>
        </w:tc>
        <w:tc>
          <w:tcPr>
            <w:tcW w:type="dxa" w:w="2000"/>
          </w:tcPr>
          <w:p>
            <w:pPr>
              <w:spacing w:after="20" w:before="20"/>
              <w:jc w:val="left"/>
            </w:pPr>
            <w:r/>
            <w:r>
              <w:rPr>
                <w:rFonts w:ascii="Calibri" w:hAnsi="Calibri"/>
                <w:b w:val="0"/>
                <w:i w:val="0"/>
                <w:color w:val="1A1420"/>
                <w:sz w:val="16"/>
              </w:rPr>
              <w:t>cruce casos ↔ decisiones</w:t>
            </w:r>
          </w:p>
        </w:tc>
      </w:tr>
      <w:tr>
        <w:tc>
          <w:tcPr>
            <w:tcW w:type="dxa" w:w="2350"/>
          </w:tcPr>
          <w:p>
            <w:pPr>
              <w:spacing w:after="20" w:before="20"/>
              <w:jc w:val="left"/>
            </w:pPr>
            <w:r/>
            <w:r>
              <w:rPr>
                <w:rFonts w:ascii="Calibri" w:hAnsi="Calibri"/>
                <w:b/>
                <w:i w:val="0"/>
                <w:color w:val="1A1420"/>
                <w:sz w:val="16"/>
              </w:rPr>
              <w:t>EED</w:t>
            </w:r>
          </w:p>
        </w:tc>
        <w:tc>
          <w:tcPr>
            <w:tcW w:type="dxa" w:w="3200"/>
          </w:tcPr>
          <w:p>
            <w:pPr>
              <w:spacing w:after="20" w:before="20"/>
              <w:jc w:val="left"/>
            </w:pPr>
            <w:r/>
            <w:r>
              <w:rPr>
                <w:rFonts w:ascii="Calibri" w:hAnsi="Calibri"/>
                <w:b w:val="0"/>
                <w:i w:val="0"/>
                <w:color w:val="1A1420"/>
                <w:sz w:val="16"/>
              </w:rPr>
              <w:t>E / (E + D) (diap. 13)</w:t>
            </w:r>
          </w:p>
        </w:tc>
        <w:tc>
          <w:tcPr>
            <w:tcW w:type="dxa" w:w="1810"/>
          </w:tcPr>
          <w:p>
            <w:pPr>
              <w:spacing w:after="20" w:before="20"/>
              <w:jc w:val="left"/>
            </w:pPr>
            <w:r/>
            <w:r>
              <w:rPr>
                <w:rFonts w:ascii="Calibri" w:hAnsi="Calibri"/>
                <w:b w:val="0"/>
                <w:i w:val="0"/>
                <w:color w:val="1A1420"/>
                <w:sz w:val="16"/>
              </w:rPr>
              <w:t>Pruebas</w:t>
            </w:r>
          </w:p>
        </w:tc>
        <w:tc>
          <w:tcPr>
            <w:tcW w:type="dxa" w:w="2000"/>
          </w:tcPr>
          <w:p>
            <w:pPr>
              <w:spacing w:after="20" w:before="20"/>
              <w:jc w:val="left"/>
            </w:pPr>
            <w:r/>
            <w:r>
              <w:rPr>
                <w:rFonts w:ascii="Calibri" w:hAnsi="Calibri"/>
                <w:b w:val="0"/>
                <w:i w:val="0"/>
                <w:color w:val="1A1420"/>
                <w:sz w:val="16"/>
              </w:rPr>
              <w:t>campo 'defecto'; D = 0</w:t>
            </w:r>
          </w:p>
        </w:tc>
      </w:tr>
      <w:tr>
        <w:tc>
          <w:tcPr>
            <w:tcW w:type="dxa" w:w="2350"/>
          </w:tcPr>
          <w:p>
            <w:pPr>
              <w:spacing w:after="20" w:before="20"/>
              <w:jc w:val="left"/>
            </w:pPr>
            <w:r/>
            <w:r>
              <w:rPr>
                <w:rFonts w:ascii="Calibri" w:hAnsi="Calibri"/>
                <w:b/>
                <w:i w:val="0"/>
                <w:color w:val="1A1420"/>
                <w:sz w:val="16"/>
              </w:rPr>
              <w:t>Nº de errores</w:t>
            </w:r>
          </w:p>
        </w:tc>
        <w:tc>
          <w:tcPr>
            <w:tcW w:type="dxa" w:w="3200"/>
          </w:tcPr>
          <w:p>
            <w:pPr>
              <w:spacing w:after="20" w:before="20"/>
              <w:jc w:val="left"/>
            </w:pPr>
            <w:r/>
            <w:r>
              <w:rPr>
                <w:rFonts w:ascii="Calibri" w:hAnsi="Calibri"/>
                <w:b w:val="0"/>
                <w:i w:val="0"/>
                <w:color w:val="1A1420"/>
                <w:sz w:val="16"/>
              </w:rPr>
              <w:t>Conteo de defectos (diap. 14-16)</w:t>
            </w:r>
          </w:p>
        </w:tc>
        <w:tc>
          <w:tcPr>
            <w:tcW w:type="dxa" w:w="1810"/>
          </w:tcPr>
          <w:p>
            <w:pPr>
              <w:spacing w:after="20" w:before="20"/>
              <w:jc w:val="left"/>
            </w:pPr>
            <w:r/>
            <w:r>
              <w:rPr>
                <w:rFonts w:ascii="Calibri" w:hAnsi="Calibri"/>
                <w:b w:val="0"/>
                <w:i w:val="0"/>
                <w:color w:val="1A1420"/>
                <w:sz w:val="16"/>
              </w:rPr>
              <w:t>Pruebas</w:t>
            </w:r>
          </w:p>
        </w:tc>
        <w:tc>
          <w:tcPr>
            <w:tcW w:type="dxa" w:w="2000"/>
          </w:tcPr>
          <w:p>
            <w:pPr>
              <w:spacing w:after="20" w:before="20"/>
              <w:jc w:val="left"/>
            </w:pPr>
            <w:r/>
            <w:r>
              <w:rPr>
                <w:rFonts w:ascii="Calibri" w:hAnsi="Calibri"/>
                <w:b w:val="0"/>
                <w:i w:val="0"/>
                <w:color w:val="1A1420"/>
                <w:sz w:val="16"/>
              </w:rPr>
              <w:t>D-01…D-05</w:t>
            </w:r>
          </w:p>
        </w:tc>
      </w:tr>
      <w:tr>
        <w:tc>
          <w:tcPr>
            <w:tcW w:type="dxa" w:w="2350"/>
          </w:tcPr>
          <w:p>
            <w:pPr>
              <w:spacing w:after="20" w:before="20"/>
              <w:jc w:val="left"/>
            </w:pPr>
            <w:r/>
            <w:r>
              <w:rPr>
                <w:rFonts w:ascii="Calibri" w:hAnsi="Calibri"/>
                <w:b/>
                <w:i w:val="0"/>
                <w:color w:val="1A1420"/>
                <w:sz w:val="16"/>
              </w:rPr>
              <w:t>Densidad de fallos</w:t>
            </w:r>
          </w:p>
        </w:tc>
        <w:tc>
          <w:tcPr>
            <w:tcW w:type="dxa" w:w="3200"/>
          </w:tcPr>
          <w:p>
            <w:pPr>
              <w:spacing w:after="20" w:before="20"/>
              <w:jc w:val="left"/>
            </w:pPr>
            <w:r/>
            <w:r>
              <w:rPr>
                <w:rFonts w:ascii="Calibri" w:hAnsi="Calibri"/>
                <w:b w:val="0"/>
                <w:i w:val="0"/>
                <w:color w:val="1A1420"/>
                <w:sz w:val="16"/>
              </w:rPr>
              <w:t>Defectos / KLoC (diap. 32)</w:t>
            </w:r>
          </w:p>
        </w:tc>
        <w:tc>
          <w:tcPr>
            <w:tcW w:type="dxa" w:w="1810"/>
          </w:tcPr>
          <w:p>
            <w:pPr>
              <w:spacing w:after="20" w:before="20"/>
              <w:jc w:val="left"/>
            </w:pPr>
            <w:r/>
            <w:r>
              <w:rPr>
                <w:rFonts w:ascii="Calibri" w:hAnsi="Calibri"/>
                <w:b w:val="0"/>
                <w:i w:val="0"/>
                <w:color w:val="1A1420"/>
                <w:sz w:val="16"/>
              </w:rPr>
              <w:t>ISO — Fiabilidad</w:t>
            </w:r>
          </w:p>
        </w:tc>
        <w:tc>
          <w:tcPr>
            <w:tcW w:type="dxa" w:w="2000"/>
          </w:tcPr>
          <w:p>
            <w:pPr>
              <w:spacing w:after="20" w:before="20"/>
              <w:jc w:val="left"/>
            </w:pPr>
            <w:r/>
            <w:r>
              <w:rPr>
                <w:rFonts w:ascii="Calibri" w:hAnsi="Calibri"/>
                <w:b w:val="0"/>
                <w:i w:val="0"/>
                <w:color w:val="1A1420"/>
                <w:sz w:val="16"/>
              </w:rPr>
              <w:t>defectos / (SLOC/1000)</w:t>
            </w:r>
          </w:p>
        </w:tc>
      </w:tr>
      <w:tr>
        <w:tc>
          <w:tcPr>
            <w:tcW w:type="dxa" w:w="2350"/>
          </w:tcPr>
          <w:p>
            <w:pPr>
              <w:spacing w:after="20" w:before="20"/>
              <w:jc w:val="left"/>
            </w:pPr>
            <w:r/>
            <w:r>
              <w:rPr>
                <w:rFonts w:ascii="Calibri" w:hAnsi="Calibri"/>
                <w:b/>
                <w:i w:val="0"/>
                <w:color w:val="1A1420"/>
                <w:sz w:val="16"/>
              </w:rPr>
              <w:t>LoC (SLOC)</w:t>
            </w:r>
          </w:p>
        </w:tc>
        <w:tc>
          <w:tcPr>
            <w:tcW w:type="dxa" w:w="3200"/>
          </w:tcPr>
          <w:p>
            <w:pPr>
              <w:spacing w:after="20" w:before="20"/>
              <w:jc w:val="left"/>
            </w:pPr>
            <w:r/>
            <w:r>
              <w:rPr>
                <w:rFonts w:ascii="Calibri" w:hAnsi="Calibri"/>
                <w:b w:val="0"/>
                <w:i w:val="0"/>
                <w:color w:val="1A1420"/>
                <w:sz w:val="16"/>
              </w:rPr>
              <w:t>Nº total de líneas (diap. 28)</w:t>
            </w:r>
          </w:p>
        </w:tc>
        <w:tc>
          <w:tcPr>
            <w:tcW w:type="dxa" w:w="1810"/>
          </w:tcPr>
          <w:p>
            <w:pPr>
              <w:spacing w:after="20" w:before="20"/>
              <w:jc w:val="left"/>
            </w:pPr>
            <w:r/>
            <w:r>
              <w:rPr>
                <w:rFonts w:ascii="Calibri" w:hAnsi="Calibri"/>
                <w:b w:val="0"/>
                <w:i w:val="0"/>
                <w:color w:val="1A1420"/>
                <w:sz w:val="16"/>
              </w:rPr>
              <w:t>ISO — Mantenibilidad</w:t>
            </w:r>
          </w:p>
        </w:tc>
        <w:tc>
          <w:tcPr>
            <w:tcW w:type="dxa" w:w="2000"/>
          </w:tcPr>
          <w:p>
            <w:pPr>
              <w:spacing w:after="20" w:before="20"/>
              <w:jc w:val="left"/>
            </w:pPr>
            <w:r/>
            <w:r>
              <w:rPr>
                <w:rFonts w:ascii="Calibri" w:hAnsi="Calibri"/>
                <w:b w:val="0"/>
                <w:i w:val="0"/>
                <w:color w:val="1A1420"/>
                <w:sz w:val="16"/>
              </w:rPr>
              <w:t>conteo estático</w:t>
            </w:r>
          </w:p>
        </w:tc>
      </w:tr>
      <w:tr>
        <w:tc>
          <w:tcPr>
            <w:tcW w:type="dxa" w:w="2350"/>
          </w:tcPr>
          <w:p>
            <w:pPr>
              <w:spacing w:after="20" w:before="20"/>
              <w:jc w:val="left"/>
            </w:pPr>
            <w:r/>
            <w:r>
              <w:rPr>
                <w:rFonts w:ascii="Calibri" w:hAnsi="Calibri"/>
                <w:b/>
                <w:i w:val="0"/>
                <w:color w:val="1A1420"/>
                <w:sz w:val="16"/>
              </w:rPr>
              <w:t>Duplicación</w:t>
            </w:r>
          </w:p>
        </w:tc>
        <w:tc>
          <w:tcPr>
            <w:tcW w:type="dxa" w:w="3200"/>
          </w:tcPr>
          <w:p>
            <w:pPr>
              <w:spacing w:after="20" w:before="20"/>
              <w:jc w:val="left"/>
            </w:pPr>
            <w:r/>
            <w:r>
              <w:rPr>
                <w:rFonts w:ascii="Calibri" w:hAnsi="Calibri"/>
                <w:b w:val="0"/>
                <w:i w:val="0"/>
                <w:color w:val="1A1420"/>
                <w:sz w:val="16"/>
              </w:rPr>
              <w:t>Duplicadas / total × 100 (diap. 27)</w:t>
            </w:r>
          </w:p>
        </w:tc>
        <w:tc>
          <w:tcPr>
            <w:tcW w:type="dxa" w:w="1810"/>
          </w:tcPr>
          <w:p>
            <w:pPr>
              <w:spacing w:after="20" w:before="20"/>
              <w:jc w:val="left"/>
            </w:pPr>
            <w:r/>
            <w:r>
              <w:rPr>
                <w:rFonts w:ascii="Calibri" w:hAnsi="Calibri"/>
                <w:b w:val="0"/>
                <w:i w:val="0"/>
                <w:color w:val="1A1420"/>
                <w:sz w:val="16"/>
              </w:rPr>
              <w:t>ISO — Mantenibilidad</w:t>
            </w:r>
          </w:p>
        </w:tc>
        <w:tc>
          <w:tcPr>
            <w:tcW w:type="dxa" w:w="2000"/>
          </w:tcPr>
          <w:p>
            <w:pPr>
              <w:spacing w:after="20" w:before="20"/>
              <w:jc w:val="left"/>
            </w:pPr>
            <w:r/>
            <w:r>
              <w:rPr>
                <w:rFonts w:ascii="Calibri" w:hAnsi="Calibri"/>
                <w:b w:val="0"/>
                <w:i w:val="0"/>
                <w:color w:val="1A1420"/>
                <w:sz w:val="16"/>
              </w:rPr>
              <w:t>bloques repetidos</w:t>
            </w:r>
          </w:p>
        </w:tc>
      </w:tr>
      <w:tr>
        <w:tc>
          <w:tcPr>
            <w:tcW w:type="dxa" w:w="2350"/>
          </w:tcPr>
          <w:p>
            <w:pPr>
              <w:spacing w:after="20" w:before="20"/>
              <w:jc w:val="left"/>
            </w:pPr>
            <w:r/>
            <w:r>
              <w:rPr>
                <w:rFonts w:ascii="Calibri" w:hAnsi="Calibri"/>
                <w:b/>
                <w:i w:val="0"/>
                <w:color w:val="1A1420"/>
                <w:sz w:val="16"/>
              </w:rPr>
              <w:t>Acoplamiento CBO</w:t>
            </w:r>
          </w:p>
        </w:tc>
        <w:tc>
          <w:tcPr>
            <w:tcW w:type="dxa" w:w="3200"/>
          </w:tcPr>
          <w:p>
            <w:pPr>
              <w:spacing w:after="20" w:before="20"/>
              <w:jc w:val="left"/>
            </w:pPr>
            <w:r/>
            <w:r>
              <w:rPr>
                <w:rFonts w:ascii="Calibri" w:hAnsi="Calibri"/>
                <w:b w:val="0"/>
                <w:i w:val="0"/>
                <w:color w:val="1A1420"/>
                <w:sz w:val="16"/>
              </w:rPr>
              <w:t>Σ dependencias (diap. 29)</w:t>
            </w:r>
          </w:p>
        </w:tc>
        <w:tc>
          <w:tcPr>
            <w:tcW w:type="dxa" w:w="1810"/>
          </w:tcPr>
          <w:p>
            <w:pPr>
              <w:spacing w:after="20" w:before="20"/>
              <w:jc w:val="left"/>
            </w:pPr>
            <w:r/>
            <w:r>
              <w:rPr>
                <w:rFonts w:ascii="Calibri" w:hAnsi="Calibri"/>
                <w:b w:val="0"/>
                <w:i w:val="0"/>
                <w:color w:val="1A1420"/>
                <w:sz w:val="16"/>
              </w:rPr>
              <w:t>ISO — Mantenibilidad</w:t>
            </w:r>
          </w:p>
        </w:tc>
        <w:tc>
          <w:tcPr>
            <w:tcW w:type="dxa" w:w="2000"/>
          </w:tcPr>
          <w:p>
            <w:pPr>
              <w:spacing w:after="20" w:before="20"/>
              <w:jc w:val="left"/>
            </w:pPr>
            <w:r/>
            <w:r>
              <w:rPr>
                <w:rFonts w:ascii="Calibri" w:hAnsi="Calibri"/>
                <w:b w:val="0"/>
                <w:i w:val="0"/>
                <w:color w:val="1A1420"/>
                <w:sz w:val="16"/>
              </w:rPr>
              <w:t>imports por caso de uso</w:t>
            </w:r>
          </w:p>
        </w:tc>
      </w:tr>
      <w:tr>
        <w:tc>
          <w:tcPr>
            <w:tcW w:type="dxa" w:w="2350"/>
          </w:tcPr>
          <w:p>
            <w:pPr>
              <w:spacing w:after="20" w:before="20"/>
              <w:jc w:val="left"/>
            </w:pPr>
            <w:r/>
            <w:r>
              <w:rPr>
                <w:rFonts w:ascii="Calibri" w:hAnsi="Calibri"/>
                <w:b/>
                <w:i w:val="0"/>
                <w:color w:val="1A1420"/>
                <w:sz w:val="16"/>
              </w:rPr>
              <w:t>Herencia DIT</w:t>
            </w:r>
          </w:p>
        </w:tc>
        <w:tc>
          <w:tcPr>
            <w:tcW w:type="dxa" w:w="3200"/>
          </w:tcPr>
          <w:p>
            <w:pPr>
              <w:spacing w:after="20" w:before="20"/>
              <w:jc w:val="left"/>
            </w:pPr>
            <w:r/>
            <w:r>
              <w:rPr>
                <w:rFonts w:ascii="Calibri" w:hAnsi="Calibri"/>
                <w:b w:val="0"/>
                <w:i w:val="0"/>
                <w:color w:val="1A1420"/>
                <w:sz w:val="16"/>
              </w:rPr>
              <w:t>Niveles de herencia (diap. 30)</w:t>
            </w:r>
          </w:p>
        </w:tc>
        <w:tc>
          <w:tcPr>
            <w:tcW w:type="dxa" w:w="1810"/>
          </w:tcPr>
          <w:p>
            <w:pPr>
              <w:spacing w:after="20" w:before="20"/>
              <w:jc w:val="left"/>
            </w:pPr>
            <w:r/>
            <w:r>
              <w:rPr>
                <w:rFonts w:ascii="Calibri" w:hAnsi="Calibri"/>
                <w:b w:val="0"/>
                <w:i w:val="0"/>
                <w:color w:val="1A1420"/>
                <w:sz w:val="16"/>
              </w:rPr>
              <w:t>ISO — Mantenibilidad</w:t>
            </w:r>
          </w:p>
        </w:tc>
        <w:tc>
          <w:tcPr>
            <w:tcW w:type="dxa" w:w="2000"/>
          </w:tcPr>
          <w:p>
            <w:pPr>
              <w:spacing w:after="20" w:before="20"/>
              <w:jc w:val="left"/>
            </w:pPr>
            <w:r/>
            <w:r>
              <w:rPr>
                <w:rFonts w:ascii="Calibri" w:hAnsi="Calibri"/>
                <w:b w:val="0"/>
                <w:i w:val="0"/>
                <w:color w:val="1A1420"/>
                <w:sz w:val="16"/>
              </w:rPr>
              <w:t>sin herencia → 1 / 0</w:t>
            </w:r>
          </w:p>
        </w:tc>
      </w:tr>
      <w:tr>
        <w:tc>
          <w:tcPr>
            <w:tcW w:type="dxa" w:w="2350"/>
          </w:tcPr>
          <w:p>
            <w:pPr>
              <w:spacing w:after="20" w:before="20"/>
              <w:jc w:val="left"/>
            </w:pPr>
            <w:r/>
            <w:r>
              <w:rPr>
                <w:rFonts w:ascii="Calibri" w:hAnsi="Calibri"/>
                <w:b/>
                <w:i w:val="0"/>
                <w:color w:val="1A1420"/>
                <w:sz w:val="16"/>
              </w:rPr>
              <w:t>Tiempo de respuesta</w:t>
            </w:r>
          </w:p>
        </w:tc>
        <w:tc>
          <w:tcPr>
            <w:tcW w:type="dxa" w:w="3200"/>
          </w:tcPr>
          <w:p>
            <w:pPr>
              <w:spacing w:after="20" w:before="20"/>
              <w:jc w:val="left"/>
            </w:pPr>
            <w:r/>
            <w:r>
              <w:rPr>
                <w:rFonts w:ascii="Calibri" w:hAnsi="Calibri"/>
                <w:b w:val="0"/>
                <w:i w:val="0"/>
                <w:color w:val="1A1420"/>
                <w:sz w:val="16"/>
              </w:rPr>
              <w:t>T_fin − T_inicio (diap. 34)</w:t>
            </w:r>
          </w:p>
        </w:tc>
        <w:tc>
          <w:tcPr>
            <w:tcW w:type="dxa" w:w="1810"/>
          </w:tcPr>
          <w:p>
            <w:pPr>
              <w:spacing w:after="20" w:before="20"/>
              <w:jc w:val="left"/>
            </w:pPr>
            <w:r/>
            <w:r>
              <w:rPr>
                <w:rFonts w:ascii="Calibri" w:hAnsi="Calibri"/>
                <w:b w:val="0"/>
                <w:i w:val="0"/>
                <w:color w:val="1A1420"/>
                <w:sz w:val="16"/>
              </w:rPr>
              <w:t>ISO — Eficiencia</w:t>
            </w:r>
          </w:p>
        </w:tc>
        <w:tc>
          <w:tcPr>
            <w:tcW w:type="dxa" w:w="2000"/>
          </w:tcPr>
          <w:p>
            <w:pPr>
              <w:spacing w:after="20" w:before="20"/>
              <w:jc w:val="left"/>
            </w:pPr>
            <w:r/>
            <w:r>
              <w:rPr>
                <w:rFonts w:ascii="Calibri" w:hAnsi="Calibri"/>
                <w:b w:val="0"/>
                <w:i w:val="0"/>
                <w:color w:val="1A1420"/>
                <w:sz w:val="16"/>
              </w:rPr>
              <w:t>duracionMs (runner.ts)</w:t>
            </w:r>
          </w:p>
        </w:tc>
      </w:tr>
      <w:tr>
        <w:tc>
          <w:tcPr>
            <w:tcW w:type="dxa" w:w="2350"/>
          </w:tcPr>
          <w:p>
            <w:pPr>
              <w:spacing w:after="20" w:before="20"/>
              <w:jc w:val="left"/>
            </w:pPr>
            <w:r/>
            <w:r>
              <w:rPr>
                <w:rFonts w:ascii="Calibri" w:hAnsi="Calibri"/>
                <w:b/>
                <w:i w:val="0"/>
                <w:color w:val="1A1420"/>
                <w:sz w:val="16"/>
              </w:rPr>
              <w:t>Uso CPU / Memoria</w:t>
            </w:r>
          </w:p>
        </w:tc>
        <w:tc>
          <w:tcPr>
            <w:tcW w:type="dxa" w:w="3200"/>
          </w:tcPr>
          <w:p>
            <w:pPr>
              <w:spacing w:after="20" w:before="20"/>
              <w:jc w:val="left"/>
            </w:pPr>
            <w:r/>
            <w:r>
              <w:rPr>
                <w:rFonts w:ascii="Calibri" w:hAnsi="Calibri"/>
                <w:b w:val="0"/>
                <w:i w:val="0"/>
                <w:color w:val="1A1420"/>
                <w:sz w:val="16"/>
              </w:rPr>
              <w:t>(T_CPU/T_total)×100 (diap. 33)</w:t>
            </w:r>
          </w:p>
        </w:tc>
        <w:tc>
          <w:tcPr>
            <w:tcW w:type="dxa" w:w="1810"/>
          </w:tcPr>
          <w:p>
            <w:pPr>
              <w:spacing w:after="20" w:before="20"/>
              <w:jc w:val="left"/>
            </w:pPr>
            <w:r/>
            <w:r>
              <w:rPr>
                <w:rFonts w:ascii="Calibri" w:hAnsi="Calibri"/>
                <w:b w:val="0"/>
                <w:i w:val="0"/>
                <w:color w:val="1A1420"/>
                <w:sz w:val="16"/>
              </w:rPr>
              <w:t>ISO — Eficiencia</w:t>
            </w:r>
          </w:p>
        </w:tc>
        <w:tc>
          <w:tcPr>
            <w:tcW w:type="dxa" w:w="2000"/>
          </w:tcPr>
          <w:p>
            <w:pPr>
              <w:spacing w:after="20" w:before="20"/>
              <w:jc w:val="left"/>
            </w:pPr>
            <w:r/>
            <w:r>
              <w:rPr>
                <w:rFonts w:ascii="Calibri" w:hAnsi="Calibri"/>
                <w:b w:val="0"/>
                <w:i w:val="0"/>
                <w:color w:val="1A1420"/>
                <w:sz w:val="16"/>
              </w:rPr>
              <w:t>cpuUsage/memoryUsage</w:t>
            </w:r>
          </w:p>
        </w:tc>
      </w:tr>
      <w:tr>
        <w:tc>
          <w:tcPr>
            <w:tcW w:type="dxa" w:w="2350"/>
          </w:tcPr>
          <w:p>
            <w:pPr>
              <w:spacing w:after="20" w:before="20"/>
              <w:jc w:val="left"/>
            </w:pPr>
            <w:r/>
            <w:r>
              <w:rPr>
                <w:rFonts w:ascii="Calibri" w:hAnsi="Calibri"/>
                <w:b/>
                <w:i w:val="0"/>
                <w:color w:val="1A1420"/>
                <w:sz w:val="16"/>
              </w:rPr>
              <w:t>Índice de vulnerabilidad</w:t>
            </w:r>
          </w:p>
        </w:tc>
        <w:tc>
          <w:tcPr>
            <w:tcW w:type="dxa" w:w="3200"/>
          </w:tcPr>
          <w:p>
            <w:pPr>
              <w:spacing w:after="20" w:before="20"/>
              <w:jc w:val="left"/>
            </w:pPr>
            <w:r/>
            <w:r>
              <w:rPr>
                <w:rFonts w:ascii="Calibri" w:hAnsi="Calibri"/>
                <w:b w:val="0"/>
                <w:i w:val="0"/>
                <w:color w:val="1A1420"/>
                <w:sz w:val="16"/>
              </w:rPr>
              <w:t>Nº vuln. / KLoC (diap. 36)</w:t>
            </w:r>
          </w:p>
        </w:tc>
        <w:tc>
          <w:tcPr>
            <w:tcW w:type="dxa" w:w="1810"/>
          </w:tcPr>
          <w:p>
            <w:pPr>
              <w:spacing w:after="20" w:before="20"/>
              <w:jc w:val="left"/>
            </w:pPr>
            <w:r/>
            <w:r>
              <w:rPr>
                <w:rFonts w:ascii="Calibri" w:hAnsi="Calibri"/>
                <w:b w:val="0"/>
                <w:i w:val="0"/>
                <w:color w:val="1A1420"/>
                <w:sz w:val="16"/>
              </w:rPr>
              <w:t>ISO — Seguridad</w:t>
            </w:r>
          </w:p>
        </w:tc>
        <w:tc>
          <w:tcPr>
            <w:tcW w:type="dxa" w:w="2000"/>
          </w:tcPr>
          <w:p>
            <w:pPr>
              <w:spacing w:after="20" w:before="20"/>
              <w:jc w:val="left"/>
            </w:pPr>
            <w:r/>
            <w:r>
              <w:rPr>
                <w:rFonts w:ascii="Calibri" w:hAnsi="Calibri"/>
                <w:b w:val="0"/>
                <w:i w:val="0"/>
                <w:color w:val="1A1420"/>
                <w:sz w:val="16"/>
              </w:rPr>
              <w:t>0 hallazgos estáticos</w:t>
            </w:r>
          </w:p>
        </w:tc>
      </w:tr>
      <w:tr>
        <w:tc>
          <w:tcPr>
            <w:tcW w:type="dxa" w:w="2350"/>
          </w:tcPr>
          <w:p>
            <w:pPr>
              <w:spacing w:after="20" w:before="20"/>
              <w:jc w:val="left"/>
            </w:pPr>
            <w:r/>
            <w:r>
              <w:rPr>
                <w:rFonts w:ascii="Calibri" w:hAnsi="Calibri"/>
                <w:b/>
                <w:i w:val="0"/>
                <w:color w:val="1A1420"/>
                <w:sz w:val="16"/>
              </w:rPr>
              <w:t>Tasa de defectos</w:t>
            </w:r>
          </w:p>
        </w:tc>
        <w:tc>
          <w:tcPr>
            <w:tcW w:type="dxa" w:w="3200"/>
          </w:tcPr>
          <w:p>
            <w:pPr>
              <w:spacing w:after="20" w:before="20"/>
              <w:jc w:val="left"/>
            </w:pPr>
            <w:r/>
            <w:r>
              <w:rPr>
                <w:rFonts w:ascii="Calibri" w:hAnsi="Calibri"/>
                <w:b w:val="0"/>
                <w:i w:val="0"/>
                <w:color w:val="1A1420"/>
                <w:sz w:val="16"/>
              </w:rPr>
              <w:t>Defectos / nº funcionalidades (diap. 37)</w:t>
            </w:r>
          </w:p>
        </w:tc>
        <w:tc>
          <w:tcPr>
            <w:tcW w:type="dxa" w:w="1810"/>
          </w:tcPr>
          <w:p>
            <w:pPr>
              <w:spacing w:after="20" w:before="20"/>
              <w:jc w:val="left"/>
            </w:pPr>
            <w:r/>
            <w:r>
              <w:rPr>
                <w:rFonts w:ascii="Calibri" w:hAnsi="Calibri"/>
                <w:b w:val="0"/>
                <w:i w:val="0"/>
                <w:color w:val="1A1420"/>
                <w:sz w:val="16"/>
              </w:rPr>
              <w:t>Proceso</w:t>
            </w:r>
          </w:p>
        </w:tc>
        <w:tc>
          <w:tcPr>
            <w:tcW w:type="dxa" w:w="2000"/>
          </w:tcPr>
          <w:p>
            <w:pPr>
              <w:spacing w:after="20" w:before="20"/>
              <w:jc w:val="left"/>
            </w:pPr>
            <w:r/>
            <w:r>
              <w:rPr>
                <w:rFonts w:ascii="Calibri" w:hAnsi="Calibri"/>
                <w:b w:val="0"/>
                <w:i w:val="0"/>
                <w:color w:val="1A1420"/>
                <w:sz w:val="16"/>
              </w:rPr>
              <w:t>5 / 5</w:t>
            </w:r>
          </w:p>
        </w:tc>
      </w:tr>
    </w:tbl>
    <w:p>
      <w:pPr>
        <w:spacing w:after="40"/>
      </w:pPr>
    </w:p>
    <w:p>
      <w:pPr>
        <w:spacing w:after="120"/>
        <w:jc w:val="left"/>
      </w:pPr>
      <w:r>
        <w:rPr>
          <w:b w:val="0"/>
          <w:i/>
          <w:color w:val="5C5566"/>
          <w:sz w:val="18"/>
        </w:rPr>
        <w:t>Documento complementario del libro Excel de métricas (docs/Metricas-Bolsillos.xlsx), donde las mismas cifras están con fórmulas vivas y editables.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4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5E0A9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5E0A9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14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820AD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