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4E79"/>
          <w:sz w:val="40"/>
        </w:rPr>
        <w:t>Plan de Pruebas — Módulo Bolsillos (FuBanking)</w:t>
      </w:r>
    </w:p>
    <w:tbl>
      <w:tblPr>
        <w:tblStyle w:val="TableGrid"/>
        <w:tblW w:type="auto" w:w="0"/>
        <w:tblLook w:firstColumn="1" w:firstRow="1" w:lastColumn="0" w:lastRow="0" w:noHBand="0" w:noVBand="1" w:val="04A0"/>
      </w:tblPr>
      <w:tblGrid>
        <w:gridCol w:w="4320"/>
        <w:gridCol w:w="4320"/>
      </w:tblGrid>
      <w:tr>
        <w:tc>
          <w:tcPr>
            <w:tcW w:type="dxa" w:w="2736"/>
            <w:shd w:val="clear" w:fill="EAF1F8"/>
          </w:tcPr>
          <w:p>
            <w:r/>
            <w:r>
              <w:rPr>
                <w:b/>
                <w:sz w:val="19"/>
              </w:rPr>
              <w:t>Asignatura</w:t>
            </w:r>
          </w:p>
        </w:tc>
        <w:tc>
          <w:tcPr>
            <w:tcW w:type="dxa" w:w="6624"/>
          </w:tcPr>
          <w:p>
            <w:r/>
            <w:r>
              <w:rPr>
                <w:sz w:val="19"/>
              </w:rPr>
              <w:t>Validación y Verificación de Software</w:t>
            </w:r>
          </w:p>
        </w:tc>
      </w:tr>
      <w:tr>
        <w:tc>
          <w:tcPr>
            <w:tcW w:type="dxa" w:w="2736"/>
            <w:shd w:val="clear" w:fill="EAF1F8"/>
          </w:tcPr>
          <w:p>
            <w:r/>
            <w:r>
              <w:rPr>
                <w:b/>
                <w:sz w:val="19"/>
              </w:rPr>
              <w:t>Proyecto</w:t>
            </w:r>
          </w:p>
        </w:tc>
        <w:tc>
          <w:tcPr>
            <w:tcW w:type="dxa" w:w="6624"/>
          </w:tcPr>
          <w:p>
            <w:r/>
            <w:r>
              <w:rPr>
                <w:sz w:val="19"/>
              </w:rPr>
              <w:t>FuBanking — Banco digital</w:t>
            </w:r>
          </w:p>
        </w:tc>
      </w:tr>
      <w:tr>
        <w:tc>
          <w:tcPr>
            <w:tcW w:type="dxa" w:w="2736"/>
            <w:shd w:val="clear" w:fill="EAF1F8"/>
          </w:tcPr>
          <w:p>
            <w:r/>
            <w:r>
              <w:rPr>
                <w:b/>
                <w:sz w:val="19"/>
              </w:rPr>
              <w:t>Módulo bajo prueba</w:t>
            </w:r>
          </w:p>
        </w:tc>
        <w:tc>
          <w:tcPr>
            <w:tcW w:type="dxa" w:w="6624"/>
          </w:tcPr>
          <w:p>
            <w:r/>
            <w:r>
              <w:rPr>
                <w:sz w:val="19"/>
              </w:rPr>
              <w:t>Bolsillos (Pockets)</w:t>
            </w:r>
          </w:p>
        </w:tc>
      </w:tr>
      <w:tr>
        <w:tc>
          <w:tcPr>
            <w:tcW w:type="dxa" w:w="2736"/>
            <w:shd w:val="clear" w:fill="EAF1F8"/>
          </w:tcPr>
          <w:p>
            <w:r/>
            <w:r>
              <w:rPr>
                <w:b/>
                <w:sz w:val="19"/>
              </w:rPr>
              <w:t>Fase</w:t>
            </w:r>
          </w:p>
        </w:tc>
        <w:tc>
          <w:tcPr>
            <w:tcW w:type="dxa" w:w="6624"/>
          </w:tcPr>
          <w:p>
            <w:r/>
            <w:r>
              <w:rPr>
                <w:sz w:val="19"/>
              </w:rPr>
              <w:t>Pruebas unitarias (AAA + Mocks) y análisis estático (SonarQube)</w:t>
            </w:r>
          </w:p>
        </w:tc>
      </w:tr>
      <w:tr>
        <w:tc>
          <w:tcPr>
            <w:tcW w:type="dxa" w:w="2736"/>
            <w:shd w:val="clear" w:fill="EAF1F8"/>
          </w:tcPr>
          <w:p>
            <w:r/>
            <w:r>
              <w:rPr>
                <w:b/>
                <w:sz w:val="19"/>
              </w:rPr>
              <w:t>Versión del plan</w:t>
            </w:r>
          </w:p>
        </w:tc>
        <w:tc>
          <w:tcPr>
            <w:tcW w:type="dxa" w:w="6624"/>
          </w:tcPr>
          <w:p>
            <w:r/>
            <w:r>
              <w:rPr>
                <w:sz w:val="19"/>
              </w:rPr>
              <w:t>2.0 (actualiza el plan de la fase de caja negra/blanca)</w:t>
            </w:r>
          </w:p>
        </w:tc>
      </w:tr>
      <w:tr>
        <w:tc>
          <w:tcPr>
            <w:tcW w:type="dxa" w:w="2736"/>
            <w:shd w:val="clear" w:fill="EAF1F8"/>
          </w:tcPr>
          <w:p>
            <w:r/>
            <w:r>
              <w:rPr>
                <w:b/>
                <w:sz w:val="19"/>
              </w:rPr>
              <w:t>Fecha</w:t>
            </w:r>
          </w:p>
        </w:tc>
        <w:tc>
          <w:tcPr>
            <w:tcW w:type="dxa" w:w="6624"/>
          </w:tcPr>
          <w:p>
            <w:r/>
            <w:r>
              <w:rPr>
                <w:sz w:val="19"/>
              </w:rPr>
              <w:t>2026-09-14</w:t>
            </w:r>
          </w:p>
        </w:tc>
      </w:tr>
    </w:tbl>
    <w:p/>
    <w:p>
      <w:pPr>
        <w:pStyle w:val="Heading1"/>
      </w:pPr>
      <w:r>
        <w:t>1. Presentación del proyecto</w:t>
      </w:r>
    </w:p>
    <w:p>
      <w:r>
        <w:t>FuBanking es un banco digital construido con arquitectura limpia (Clean Architecture) en cuatro capas:</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val="clear" w:fill="1F4E79"/>
          </w:tcPr>
          <w:p>
            <w:r/>
            <w:r>
              <w:rPr>
                <w:b/>
                <w:color w:val="FFFFFF"/>
                <w:sz w:val="20"/>
              </w:rPr>
              <w:t>Capa</w:t>
            </w:r>
          </w:p>
        </w:tc>
        <w:tc>
          <w:tcPr>
            <w:tcW w:type="dxa" w:w="4176"/>
            <w:shd w:val="clear" w:fill="1F4E79"/>
          </w:tcPr>
          <w:p>
            <w:r/>
            <w:r>
              <w:rPr>
                <w:b/>
                <w:color w:val="FFFFFF"/>
                <w:sz w:val="20"/>
              </w:rPr>
              <w:t>Responsabilidad</w:t>
            </w:r>
          </w:p>
        </w:tc>
        <w:tc>
          <w:tcPr>
            <w:tcW w:type="dxa" w:w="3312"/>
            <w:shd w:val="clear" w:fill="1F4E79"/>
          </w:tcPr>
          <w:p>
            <w:r/>
            <w:r>
              <w:rPr>
                <w:b/>
                <w:color w:val="FFFFFF"/>
                <w:sz w:val="20"/>
              </w:rPr>
              <w:t>Ejemplos en Bolsillos</w:t>
            </w:r>
          </w:p>
        </w:tc>
      </w:tr>
      <w:tr>
        <w:tc>
          <w:tcPr>
            <w:tcW w:type="dxa" w:w="1872"/>
          </w:tcPr>
          <w:p>
            <w:r/>
            <w:r>
              <w:rPr>
                <w:sz w:val="19"/>
              </w:rPr>
              <w:t>Dominio</w:t>
            </w:r>
          </w:p>
        </w:tc>
        <w:tc>
          <w:tcPr>
            <w:tcW w:type="dxa" w:w="4176"/>
          </w:tcPr>
          <w:p>
            <w:r/>
            <w:r>
              <w:rPr>
                <w:sz w:val="19"/>
              </w:rPr>
              <w:t>Entidades y reglas de negocio puras</w:t>
            </w:r>
          </w:p>
        </w:tc>
        <w:tc>
          <w:tcPr>
            <w:tcW w:type="dxa" w:w="3312"/>
          </w:tcPr>
          <w:p>
            <w:r/>
            <w:r>
              <w:rPr>
                <w:sz w:val="19"/>
              </w:rPr>
              <w:t>Pocket, Account, Notification</w:t>
            </w:r>
          </w:p>
        </w:tc>
      </w:tr>
      <w:tr>
        <w:tc>
          <w:tcPr>
            <w:tcW w:type="dxa" w:w="1872"/>
            <w:shd w:val="clear" w:fill="EAF1F8"/>
          </w:tcPr>
          <w:p>
            <w:r/>
            <w:r>
              <w:rPr>
                <w:sz w:val="19"/>
              </w:rPr>
              <w:t>Aplicación</w:t>
            </w:r>
          </w:p>
        </w:tc>
        <w:tc>
          <w:tcPr>
            <w:tcW w:type="dxa" w:w="4176"/>
            <w:shd w:val="clear" w:fill="EAF1F8"/>
          </w:tcPr>
          <w:p>
            <w:r/>
            <w:r>
              <w:rPr>
                <w:sz w:val="19"/>
              </w:rPr>
              <w:t>Casos de uso (orquestación)</w:t>
            </w:r>
          </w:p>
        </w:tc>
        <w:tc>
          <w:tcPr>
            <w:tcW w:type="dxa" w:w="3312"/>
            <w:shd w:val="clear" w:fill="EAF1F8"/>
          </w:tcPr>
          <w:p>
            <w:r/>
            <w:r>
              <w:rPr>
                <w:sz w:val="19"/>
              </w:rPr>
              <w:t>CreatePocket, UpdatePocket, …</w:t>
            </w:r>
          </w:p>
        </w:tc>
      </w:tr>
      <w:tr>
        <w:tc>
          <w:tcPr>
            <w:tcW w:type="dxa" w:w="1872"/>
          </w:tcPr>
          <w:p>
            <w:r/>
            <w:r>
              <w:rPr>
                <w:sz w:val="19"/>
              </w:rPr>
              <w:t>Infraestructura</w:t>
            </w:r>
          </w:p>
        </w:tc>
        <w:tc>
          <w:tcPr>
            <w:tcW w:type="dxa" w:w="4176"/>
          </w:tcPr>
          <w:p>
            <w:r/>
            <w:r>
              <w:rPr>
                <w:sz w:val="19"/>
              </w:rPr>
              <w:t>Persistencia y servicios externos</w:t>
            </w:r>
          </w:p>
        </w:tc>
        <w:tc>
          <w:tcPr>
            <w:tcW w:type="dxa" w:w="3312"/>
          </w:tcPr>
          <w:p>
            <w:r/>
            <w:r>
              <w:rPr>
                <w:sz w:val="19"/>
              </w:rPr>
              <w:t>SupabasePocketRepository</w:t>
            </w:r>
          </w:p>
        </w:tc>
      </w:tr>
      <w:tr>
        <w:tc>
          <w:tcPr>
            <w:tcW w:type="dxa" w:w="1872"/>
            <w:shd w:val="clear" w:fill="EAF1F8"/>
          </w:tcPr>
          <w:p>
            <w:r/>
            <w:r>
              <w:rPr>
                <w:sz w:val="19"/>
              </w:rPr>
              <w:t>Presentación</w:t>
            </w:r>
          </w:p>
        </w:tc>
        <w:tc>
          <w:tcPr>
            <w:tcW w:type="dxa" w:w="4176"/>
            <w:shd w:val="clear" w:fill="EAF1F8"/>
          </w:tcPr>
          <w:p>
            <w:r/>
            <w:r>
              <w:rPr>
                <w:sz w:val="19"/>
              </w:rPr>
              <w:t>Controladores, rutas, validadores HTTP</w:t>
            </w:r>
          </w:p>
        </w:tc>
        <w:tc>
          <w:tcPr>
            <w:tcW w:type="dxa" w:w="3312"/>
            <w:shd w:val="clear" w:fill="EAF1F8"/>
          </w:tcPr>
          <w:p>
            <w:r/>
            <w:r>
              <w:rPr>
                <w:sz w:val="19"/>
              </w:rPr>
              <w:t>PocketController, pocket.validators</w:t>
            </w:r>
          </w:p>
        </w:tc>
      </w:tr>
    </w:tbl>
    <w:p/>
    <w:p>
      <w:pPr>
        <w:pStyle w:val="ListBullet"/>
      </w:pPr>
      <w:r>
        <w:t>Backend: Node.js + TypeScript + Express + Supabase.</w:t>
      </w:r>
    </w:p>
    <w:p>
      <w:pPr>
        <w:pStyle w:val="ListBullet"/>
      </w:pPr>
      <w:r>
        <w:t>Frontend: Next.js + React.</w:t>
      </w:r>
    </w:p>
    <w:p>
      <w:pPr>
        <w:pStyle w:val="ListBullet"/>
      </w:pPr>
      <w:r>
        <w:t>El dominio y la aplicación no conocen frameworks; dependen de interfaces de repositorio (Inversión de Dependencias), lo que permite inyectar dobles de prueba sin base de datos.</w:t>
      </w:r>
    </w:p>
    <w:p>
      <w:pPr>
        <w:pStyle w:val="Heading2"/>
      </w:pPr>
      <w:r>
        <w:t>1.1 El módulo Bolsillos</w:t>
      </w:r>
    </w:p>
    <w:p>
      <w:r>
        <w:t>Un bolsillo permite al usuario apartar dinero dentro de una cuenta para metas de ahorro, sin sacarlo de la cuenta. El saldo apartado se descuenta del saldo disponible de la cuenta. El módulo expone cinco funcionalidades (casos de uso):</w:t>
      </w:r>
    </w:p>
    <w:p>
      <w:pPr>
        <w:pStyle w:val="ListNumber"/>
      </w:pPr>
      <w:r>
        <w:rPr>
          <w:b w:val="0"/>
        </w:rPr>
        <w:t xml:space="preserve">Crear bolsillo — </w:t>
      </w:r>
      <w:r>
        <w:rPr>
          <w:rFonts w:ascii="Consolas" w:hAnsi="Consolas"/>
          <w:sz w:val="19"/>
        </w:rPr>
        <w:t>CreatePocket</w:t>
      </w:r>
    </w:p>
    <w:p>
      <w:pPr>
        <w:pStyle w:val="ListNumber"/>
      </w:pPr>
      <w:r>
        <w:rPr>
          <w:b w:val="0"/>
        </w:rPr>
        <w:t xml:space="preserve">Consultar bolsillos de la cuenta — </w:t>
      </w:r>
      <w:r>
        <w:rPr>
          <w:rFonts w:ascii="Consolas" w:hAnsi="Consolas"/>
          <w:sz w:val="19"/>
        </w:rPr>
        <w:t>GetAccountPockets</w:t>
      </w:r>
    </w:p>
    <w:p>
      <w:pPr>
        <w:pStyle w:val="ListNumber"/>
      </w:pPr>
      <w:r>
        <w:rPr>
          <w:b w:val="0"/>
        </w:rPr>
        <w:t xml:space="preserve">Actualizar bolsillo (nombre y/o monto) — </w:t>
      </w:r>
      <w:r>
        <w:rPr>
          <w:rFonts w:ascii="Consolas" w:hAnsi="Consolas"/>
          <w:sz w:val="19"/>
        </w:rPr>
        <w:t>UpdatePocket</w:t>
      </w:r>
    </w:p>
    <w:p>
      <w:pPr>
        <w:pStyle w:val="ListNumber"/>
      </w:pPr>
      <w:r>
        <w:rPr>
          <w:b w:val="0"/>
        </w:rPr>
        <w:t xml:space="preserve">Eliminar bolsillo — </w:t>
      </w:r>
      <w:r>
        <w:rPr>
          <w:rFonts w:ascii="Consolas" w:hAnsi="Consolas"/>
          <w:sz w:val="19"/>
        </w:rPr>
        <w:t>DeletePocket</w:t>
      </w:r>
    </w:p>
    <w:p>
      <w:pPr>
        <w:pStyle w:val="ListNumber"/>
      </w:pPr>
      <w:r>
        <w:rPr>
          <w:b w:val="0"/>
        </w:rPr>
        <w:t xml:space="preserve">Transferir saldo entre bolsillos — </w:t>
      </w:r>
      <w:r>
        <w:rPr>
          <w:rFonts w:ascii="Consolas" w:hAnsi="Consolas"/>
          <w:sz w:val="19"/>
        </w:rPr>
        <w:t>TransferPocketBalance</w:t>
      </w:r>
    </w:p>
    <w:p>
      <w:pPr>
        <w:pStyle w:val="Heading1"/>
      </w:pPr>
      <w:r>
        <w:t>2. Objetivo del plan</w:t>
      </w:r>
    </w:p>
    <w:p>
      <w:r>
        <w:t>Verificar, mediante pruebas unitarias automatizadas, que la lógica de negocio del módulo Bolsillos es correcta y robusta ante entradas válidas e inválidas, y evaluar la calidad interna del código mediante análisis estático (SonarQube/SonarCloud), cumpliendo los umbrales de un Quality Gate estricto.</w:t>
      </w:r>
    </w:p>
    <w:p>
      <w:pPr>
        <w:pStyle w:val="Heading1"/>
      </w:pPr>
      <w:r>
        <w:t>3. Alcance</w:t>
      </w:r>
    </w:p>
    <w:p>
      <w:pPr>
        <w:pStyle w:val="Heading2"/>
      </w:pPr>
      <w:r>
        <w:t>3.1 Elementos a probar (unidades)</w:t>
      </w:r>
    </w:p>
    <w:tbl>
      <w:tblPr>
        <w:tblStyle w:val="TableGrid"/>
        <w:tblW w:type="auto" w:w="0"/>
        <w:jc w:val="center"/>
        <w:tblLook w:firstColumn="1" w:firstRow="1" w:lastColumn="0" w:lastRow="0" w:noHBand="0" w:noVBand="1" w:val="04A0"/>
      </w:tblPr>
      <w:tblGrid>
        <w:gridCol w:w="2880"/>
        <w:gridCol w:w="2880"/>
        <w:gridCol w:w="2880"/>
      </w:tblGrid>
      <w:tr>
        <w:tc>
          <w:tcPr>
            <w:tcW w:type="dxa" w:w="3024"/>
            <w:shd w:val="clear" w:fill="1F4E79"/>
          </w:tcPr>
          <w:p>
            <w:r/>
            <w:r>
              <w:rPr>
                <w:b/>
                <w:color w:val="FFFFFF"/>
                <w:sz w:val="20"/>
              </w:rPr>
              <w:t>Unidad</w:t>
            </w:r>
          </w:p>
        </w:tc>
        <w:tc>
          <w:tcPr>
            <w:tcW w:type="dxa" w:w="2304"/>
            <w:shd w:val="clear" w:fill="1F4E79"/>
          </w:tcPr>
          <w:p>
            <w:r/>
            <w:r>
              <w:rPr>
                <w:b/>
                <w:color w:val="FFFFFF"/>
                <w:sz w:val="20"/>
              </w:rPr>
              <w:t>Tipo</w:t>
            </w:r>
          </w:p>
        </w:tc>
        <w:tc>
          <w:tcPr>
            <w:tcW w:type="dxa" w:w="4032"/>
            <w:shd w:val="clear" w:fill="1F4E79"/>
          </w:tcPr>
          <w:p>
            <w:r/>
            <w:r>
              <w:rPr>
                <w:b/>
                <w:color w:val="FFFFFF"/>
                <w:sz w:val="20"/>
              </w:rPr>
              <w:t>Ubicación</w:t>
            </w:r>
          </w:p>
        </w:tc>
      </w:tr>
      <w:tr>
        <w:tc>
          <w:tcPr>
            <w:tcW w:type="dxa" w:w="3024"/>
          </w:tcPr>
          <w:p>
            <w:r/>
            <w:r>
              <w:rPr>
                <w:sz w:val="19"/>
              </w:rPr>
              <w:t>Pocket</w:t>
            </w:r>
          </w:p>
        </w:tc>
        <w:tc>
          <w:tcPr>
            <w:tcW w:type="dxa" w:w="2304"/>
          </w:tcPr>
          <w:p>
            <w:r/>
            <w:r>
              <w:rPr>
                <w:sz w:val="19"/>
              </w:rPr>
              <w:t>Entidad de dominio</w:t>
            </w:r>
          </w:p>
        </w:tc>
        <w:tc>
          <w:tcPr>
            <w:tcW w:type="dxa" w:w="4032"/>
          </w:tcPr>
          <w:p>
            <w:r/>
            <w:r>
              <w:rPr>
                <w:sz w:val="19"/>
              </w:rPr>
              <w:t>domain/entities/Pocket.ts</w:t>
            </w:r>
          </w:p>
        </w:tc>
      </w:tr>
      <w:tr>
        <w:tc>
          <w:tcPr>
            <w:tcW w:type="dxa" w:w="3024"/>
            <w:shd w:val="clear" w:fill="EAF1F8"/>
          </w:tcPr>
          <w:p>
            <w:r/>
            <w:r>
              <w:rPr>
                <w:sz w:val="19"/>
              </w:rPr>
              <w:t>CreatePocket</w:t>
            </w:r>
          </w:p>
        </w:tc>
        <w:tc>
          <w:tcPr>
            <w:tcW w:type="dxa" w:w="2304"/>
            <w:shd w:val="clear" w:fill="EAF1F8"/>
          </w:tcPr>
          <w:p>
            <w:r/>
            <w:r>
              <w:rPr>
                <w:sz w:val="19"/>
              </w:rPr>
              <w:t>Caso de uso</w:t>
            </w:r>
          </w:p>
        </w:tc>
        <w:tc>
          <w:tcPr>
            <w:tcW w:type="dxa" w:w="4032"/>
            <w:shd w:val="clear" w:fill="EAF1F8"/>
          </w:tcPr>
          <w:p>
            <w:r/>
            <w:r>
              <w:rPr>
                <w:sz w:val="19"/>
              </w:rPr>
              <w:t>use-cases/pocket/CreatePocket.ts</w:t>
            </w:r>
          </w:p>
        </w:tc>
      </w:tr>
      <w:tr>
        <w:tc>
          <w:tcPr>
            <w:tcW w:type="dxa" w:w="3024"/>
          </w:tcPr>
          <w:p>
            <w:r/>
            <w:r>
              <w:rPr>
                <w:sz w:val="19"/>
              </w:rPr>
              <w:t>UpdatePocket</w:t>
            </w:r>
          </w:p>
        </w:tc>
        <w:tc>
          <w:tcPr>
            <w:tcW w:type="dxa" w:w="2304"/>
          </w:tcPr>
          <w:p>
            <w:r/>
            <w:r>
              <w:rPr>
                <w:sz w:val="19"/>
              </w:rPr>
              <w:t>Caso de uso</w:t>
            </w:r>
          </w:p>
        </w:tc>
        <w:tc>
          <w:tcPr>
            <w:tcW w:type="dxa" w:w="4032"/>
          </w:tcPr>
          <w:p>
            <w:r/>
            <w:r>
              <w:rPr>
                <w:sz w:val="19"/>
              </w:rPr>
              <w:t>use-cases/pocket/UpdatePocket.ts</w:t>
            </w:r>
          </w:p>
        </w:tc>
      </w:tr>
      <w:tr>
        <w:tc>
          <w:tcPr>
            <w:tcW w:type="dxa" w:w="3024"/>
            <w:shd w:val="clear" w:fill="EAF1F8"/>
          </w:tcPr>
          <w:p>
            <w:r/>
            <w:r>
              <w:rPr>
                <w:sz w:val="19"/>
              </w:rPr>
              <w:t>DeletePocket</w:t>
            </w:r>
          </w:p>
        </w:tc>
        <w:tc>
          <w:tcPr>
            <w:tcW w:type="dxa" w:w="2304"/>
            <w:shd w:val="clear" w:fill="EAF1F8"/>
          </w:tcPr>
          <w:p>
            <w:r/>
            <w:r>
              <w:rPr>
                <w:sz w:val="19"/>
              </w:rPr>
              <w:t>Caso de uso</w:t>
            </w:r>
          </w:p>
        </w:tc>
        <w:tc>
          <w:tcPr>
            <w:tcW w:type="dxa" w:w="4032"/>
            <w:shd w:val="clear" w:fill="EAF1F8"/>
          </w:tcPr>
          <w:p>
            <w:r/>
            <w:r>
              <w:rPr>
                <w:sz w:val="19"/>
              </w:rPr>
              <w:t>use-cases/pocket/DeletePocket.ts</w:t>
            </w:r>
          </w:p>
        </w:tc>
      </w:tr>
      <w:tr>
        <w:tc>
          <w:tcPr>
            <w:tcW w:type="dxa" w:w="3024"/>
          </w:tcPr>
          <w:p>
            <w:r/>
            <w:r>
              <w:rPr>
                <w:sz w:val="19"/>
              </w:rPr>
              <w:t>TransferPocketBalance</w:t>
            </w:r>
          </w:p>
        </w:tc>
        <w:tc>
          <w:tcPr>
            <w:tcW w:type="dxa" w:w="2304"/>
          </w:tcPr>
          <w:p>
            <w:r/>
            <w:r>
              <w:rPr>
                <w:sz w:val="19"/>
              </w:rPr>
              <w:t>Caso de uso</w:t>
            </w:r>
          </w:p>
        </w:tc>
        <w:tc>
          <w:tcPr>
            <w:tcW w:type="dxa" w:w="4032"/>
          </w:tcPr>
          <w:p>
            <w:r/>
            <w:r>
              <w:rPr>
                <w:sz w:val="19"/>
              </w:rPr>
              <w:t>use-cases/pocket/TransferPocketBalance.ts</w:t>
            </w:r>
          </w:p>
        </w:tc>
      </w:tr>
      <w:tr>
        <w:tc>
          <w:tcPr>
            <w:tcW w:type="dxa" w:w="3024"/>
            <w:shd w:val="clear" w:fill="EAF1F8"/>
          </w:tcPr>
          <w:p>
            <w:r/>
            <w:r>
              <w:rPr>
                <w:sz w:val="19"/>
              </w:rPr>
              <w:t>GetAccountPockets</w:t>
            </w:r>
          </w:p>
        </w:tc>
        <w:tc>
          <w:tcPr>
            <w:tcW w:type="dxa" w:w="2304"/>
            <w:shd w:val="clear" w:fill="EAF1F8"/>
          </w:tcPr>
          <w:p>
            <w:r/>
            <w:r>
              <w:rPr>
                <w:sz w:val="19"/>
              </w:rPr>
              <w:t>Caso de uso</w:t>
            </w:r>
          </w:p>
        </w:tc>
        <w:tc>
          <w:tcPr>
            <w:tcW w:type="dxa" w:w="4032"/>
            <w:shd w:val="clear" w:fill="EAF1F8"/>
          </w:tcPr>
          <w:p>
            <w:r/>
            <w:r>
              <w:rPr>
                <w:sz w:val="19"/>
              </w:rPr>
              <w:t>use-cases/pocket/GetAccountPockets.ts</w:t>
            </w:r>
          </w:p>
        </w:tc>
      </w:tr>
    </w:tbl>
    <w:p/>
    <w:p>
      <w:pPr>
        <w:pStyle w:val="Heading2"/>
      </w:pPr>
      <w:r>
        <w:t>3.2 Fuera de alcance (para esta fase)</w:t>
      </w:r>
    </w:p>
    <w:p>
      <w:pPr>
        <w:pStyle w:val="ListBullet"/>
      </w:pPr>
      <w:r>
        <w:t>Otros módulos (autenticación, créditos, tarjetas, perfil) — cubiertos por otros integrantes.</w:t>
      </w:r>
    </w:p>
    <w:p>
      <w:pPr>
        <w:pStyle w:val="ListBullet"/>
      </w:pPr>
      <w:r>
        <w:t>Pruebas de integración por HTTP (controlador + Express + Supabase) — fase posterior.</w:t>
      </w:r>
    </w:p>
    <w:p>
      <w:pPr>
        <w:pStyle w:val="ListBullet"/>
      </w:pPr>
      <w:r>
        <w:t>Pruebas de frontend — otro frente del equipo.</w:t>
      </w:r>
    </w:p>
    <w:p>
      <w:pPr>
        <w:pStyle w:val="ListBullet"/>
      </w:pPr>
      <w:r>
        <w:t>El repositorio Supabase (SupabasePocketRepository) se cubre en la suite del equipo; aquí se sustituye por dobles de prueba para aislar la lógica de negocio.</w:t>
      </w:r>
    </w:p>
    <w:p>
      <w:pPr>
        <w:pStyle w:val="Heading1"/>
      </w:pPr>
      <w:r>
        <w:t>4. Estrategia y enfoque de pruebas</w:t>
      </w:r>
    </w:p>
    <w:p>
      <w:pPr>
        <w:pStyle w:val="Heading2"/>
      </w:pPr>
      <w:r>
        <w:t>4.1 Nivel: unitario y aislado</w:t>
      </w:r>
    </w:p>
    <w:p>
      <w:r>
        <w:t>Cada caso de uso se prueba inyectándole dobles de los repositorios (cuenta, bolsillo, notificaciones) en vez de sus implementaciones reales de Supabase. Así la prueba ejercita solo la lógica del caso de uso, sin base de datos ni red.</w:t>
      </w:r>
    </w:p>
    <w:p>
      <w:pPr>
        <w:pStyle w:val="Heading2"/>
      </w:pPr>
      <w:r>
        <w:t>4.2 Patrón AAA (Arrange – Act – Assert)</w:t>
      </w:r>
    </w:p>
    <w:p>
      <w:r>
        <w:t>Toda prueba se estructura y rotula explícitamente en tres bloques:</w:t>
      </w:r>
    </w:p>
    <w:p>
      <w:pPr>
        <w:pStyle w:val="ListBullet"/>
      </w:pPr>
      <w:r>
        <w:t>Arrange: preparar datos y dobles (ej. cuenta ACTIVA con saldo, bolsillo con monto).</w:t>
      </w:r>
    </w:p>
    <w:p>
      <w:pPr>
        <w:pStyle w:val="ListBullet"/>
      </w:pPr>
      <w:r>
        <w:t>Act: invocar el método bajo prueba (useCase.execute(dto)).</w:t>
      </w:r>
    </w:p>
    <w:p>
      <w:pPr>
        <w:pStyle w:val="ListBullet"/>
      </w:pPr>
      <w:r>
        <w:t>Assert: verificar el resultado o el error esperado (expect(...)).</w:t>
      </w:r>
    </w:p>
    <w:p>
      <w:pPr>
        <w:pStyle w:val="Heading2"/>
      </w:pPr>
      <w:r>
        <w:t>4.3 Principios FIRST</w:t>
      </w:r>
    </w:p>
    <w:tbl>
      <w:tblPr>
        <w:tblStyle w:val="TableGrid"/>
        <w:tblW w:type="auto" w:w="0"/>
        <w:jc w:val="center"/>
        <w:tblLook w:firstColumn="1" w:firstRow="1" w:lastColumn="0" w:lastRow="0" w:noHBand="0" w:noVBand="1" w:val="04A0"/>
      </w:tblPr>
      <w:tblGrid>
        <w:gridCol w:w="4320"/>
        <w:gridCol w:w="4320"/>
      </w:tblGrid>
      <w:tr>
        <w:tc>
          <w:tcPr>
            <w:tcW w:type="dxa" w:w="2304"/>
            <w:shd w:val="clear" w:fill="1F4E79"/>
          </w:tcPr>
          <w:p>
            <w:r/>
            <w:r>
              <w:rPr>
                <w:b/>
                <w:color w:val="FFFFFF"/>
                <w:sz w:val="20"/>
              </w:rPr>
              <w:t>Principio</w:t>
            </w:r>
          </w:p>
        </w:tc>
        <w:tc>
          <w:tcPr>
            <w:tcW w:type="dxa" w:w="7056"/>
            <w:shd w:val="clear" w:fill="1F4E79"/>
          </w:tcPr>
          <w:p>
            <w:r/>
            <w:r>
              <w:rPr>
                <w:b/>
                <w:color w:val="FFFFFF"/>
                <w:sz w:val="20"/>
              </w:rPr>
              <w:t>Cómo se cumple</w:t>
            </w:r>
          </w:p>
        </w:tc>
      </w:tr>
      <w:tr>
        <w:tc>
          <w:tcPr>
            <w:tcW w:type="dxa" w:w="2304"/>
          </w:tcPr>
          <w:p>
            <w:r/>
            <w:r>
              <w:rPr>
                <w:sz w:val="19"/>
              </w:rPr>
              <w:t>Fast</w:t>
            </w:r>
          </w:p>
        </w:tc>
        <w:tc>
          <w:tcPr>
            <w:tcW w:type="dxa" w:w="7056"/>
          </w:tcPr>
          <w:p>
            <w:r/>
            <w:r>
              <w:rPr>
                <w:sz w:val="19"/>
              </w:rPr>
              <w:t>Solo memoria (dobles), sin BD ni red → milisegundos.</w:t>
            </w:r>
          </w:p>
        </w:tc>
      </w:tr>
      <w:tr>
        <w:tc>
          <w:tcPr>
            <w:tcW w:type="dxa" w:w="2304"/>
            <w:shd w:val="clear" w:fill="EAF1F8"/>
          </w:tcPr>
          <w:p>
            <w:r/>
            <w:r>
              <w:rPr>
                <w:sz w:val="19"/>
              </w:rPr>
              <w:t>Independent</w:t>
            </w:r>
          </w:p>
        </w:tc>
        <w:tc>
          <w:tcPr>
            <w:tcW w:type="dxa" w:w="7056"/>
            <w:shd w:val="clear" w:fill="EAF1F8"/>
          </w:tcPr>
          <w:p>
            <w:r/>
            <w:r>
              <w:rPr>
                <w:sz w:val="19"/>
              </w:rPr>
              <w:t>Cada prueba arma sus propios dobles (beforeEach/local); no comparten estado.</w:t>
            </w:r>
          </w:p>
        </w:tc>
      </w:tr>
      <w:tr>
        <w:tc>
          <w:tcPr>
            <w:tcW w:type="dxa" w:w="2304"/>
          </w:tcPr>
          <w:p>
            <w:r/>
            <w:r>
              <w:rPr>
                <w:sz w:val="19"/>
              </w:rPr>
              <w:t>Repeatable</w:t>
            </w:r>
          </w:p>
        </w:tc>
        <w:tc>
          <w:tcPr>
            <w:tcW w:type="dxa" w:w="7056"/>
          </w:tcPr>
          <w:p>
            <w:r/>
            <w:r>
              <w:rPr>
                <w:sz w:val="19"/>
              </w:rPr>
              <w:t>Fechas y datos fijos → mismo resultado en cualquier máquina.</w:t>
            </w:r>
          </w:p>
        </w:tc>
      </w:tr>
      <w:tr>
        <w:tc>
          <w:tcPr>
            <w:tcW w:type="dxa" w:w="2304"/>
            <w:shd w:val="clear" w:fill="EAF1F8"/>
          </w:tcPr>
          <w:p>
            <w:r/>
            <w:r>
              <w:rPr>
                <w:sz w:val="19"/>
              </w:rPr>
              <w:t>Self-validating</w:t>
            </w:r>
          </w:p>
        </w:tc>
        <w:tc>
          <w:tcPr>
            <w:tcW w:type="dxa" w:w="7056"/>
            <w:shd w:val="clear" w:fill="EAF1F8"/>
          </w:tcPr>
          <w:p>
            <w:r/>
            <w:r>
              <w:rPr>
                <w:sz w:val="19"/>
              </w:rPr>
              <w:t>Terminan en expect(...): pasan o fallan sin inspección manual.</w:t>
            </w:r>
          </w:p>
        </w:tc>
      </w:tr>
      <w:tr>
        <w:tc>
          <w:tcPr>
            <w:tcW w:type="dxa" w:w="2304"/>
          </w:tcPr>
          <w:p>
            <w:r/>
            <w:r>
              <w:rPr>
                <w:sz w:val="19"/>
              </w:rPr>
              <w:t>Timely</w:t>
            </w:r>
          </w:p>
        </w:tc>
        <w:tc>
          <w:tcPr>
            <w:tcW w:type="dxa" w:w="7056"/>
          </w:tcPr>
          <w:p>
            <w:r/>
            <w:r>
              <w:rPr>
                <w:sz w:val="19"/>
              </w:rPr>
              <w:t>Escritas junto al código de producción del módulo.</w:t>
            </w:r>
          </w:p>
        </w:tc>
      </w:tr>
    </w:tbl>
    <w:p/>
    <w:p>
      <w:pPr>
        <w:pStyle w:val="Heading2"/>
      </w:pPr>
      <w:r>
        <w:t>4.4 Los 5 tipos de dobles de prueba (Test Doubles, G. Meszaros)</w:t>
      </w:r>
    </w:p>
    <w:p>
      <w:r>
        <w:t>Definidos y documentados en backend/src/tests/unit/pocket/test-doubles.ts.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32"/>
            <w:shd w:val="clear" w:fill="1F4E79"/>
          </w:tcPr>
          <w:p>
            <w:r/>
            <w:r>
              <w:rPr>
                <w:b/>
                <w:color w:val="FFFFFF"/>
                <w:sz w:val="20"/>
              </w:rPr>
              <w:t>#</w:t>
            </w:r>
          </w:p>
        </w:tc>
        <w:tc>
          <w:tcPr>
            <w:tcW w:type="dxa" w:w="1296"/>
            <w:shd w:val="clear" w:fill="1F4E79"/>
          </w:tcPr>
          <w:p>
            <w:r/>
            <w:r>
              <w:rPr>
                <w:b/>
                <w:color w:val="FFFFFF"/>
                <w:sz w:val="20"/>
              </w:rPr>
              <w:t>Doble</w:t>
            </w:r>
          </w:p>
        </w:tc>
        <w:tc>
          <w:tcPr>
            <w:tcW w:type="dxa" w:w="4176"/>
            <w:shd w:val="clear" w:fill="1F4E79"/>
          </w:tcPr>
          <w:p>
            <w:r/>
            <w:r>
              <w:rPr>
                <w:b/>
                <w:color w:val="FFFFFF"/>
                <w:sz w:val="20"/>
              </w:rPr>
              <w:t>Definición</w:t>
            </w:r>
          </w:p>
        </w:tc>
        <w:tc>
          <w:tcPr>
            <w:tcW w:type="dxa" w:w="3456"/>
            <w:shd w:val="clear" w:fill="1F4E79"/>
          </w:tcPr>
          <w:p>
            <w:r/>
            <w:r>
              <w:rPr>
                <w:b/>
                <w:color w:val="FFFFFF"/>
                <w:sz w:val="20"/>
              </w:rPr>
              <w:t>Dónde se demuestra</w:t>
            </w:r>
          </w:p>
        </w:tc>
      </w:tr>
      <w:tr>
        <w:tc>
          <w:tcPr>
            <w:tcW w:type="dxa" w:w="432"/>
          </w:tcPr>
          <w:p>
            <w:r/>
            <w:r>
              <w:rPr>
                <w:sz w:val="19"/>
              </w:rPr>
              <w:t>1</w:t>
            </w:r>
          </w:p>
        </w:tc>
        <w:tc>
          <w:tcPr>
            <w:tcW w:type="dxa" w:w="1296"/>
          </w:tcPr>
          <w:p>
            <w:r/>
            <w:r>
              <w:rPr>
                <w:sz w:val="19"/>
              </w:rPr>
              <w:t>Dummy</w:t>
            </w:r>
          </w:p>
        </w:tc>
        <w:tc>
          <w:tcPr>
            <w:tcW w:type="dxa" w:w="4176"/>
          </w:tcPr>
          <w:p>
            <w:r/>
            <w:r>
              <w:rPr>
                <w:sz w:val="19"/>
              </w:rPr>
              <w:t>Se pasa solo para cumplir la firma; nunca se usa. Lanza si se invoca.</w:t>
            </w:r>
          </w:p>
        </w:tc>
        <w:tc>
          <w:tcPr>
            <w:tcW w:type="dxa" w:w="3456"/>
          </w:tcPr>
          <w:p>
            <w:r/>
            <w:r>
              <w:rPr>
                <w:sz w:val="19"/>
              </w:rPr>
              <w:t>CreatePocket — monto negativo (prueba que no se notifica).</w:t>
            </w:r>
          </w:p>
        </w:tc>
      </w:tr>
      <w:tr>
        <w:tc>
          <w:tcPr>
            <w:tcW w:type="dxa" w:w="432"/>
            <w:shd w:val="clear" w:fill="EAF1F8"/>
          </w:tcPr>
          <w:p>
            <w:r/>
            <w:r>
              <w:rPr>
                <w:sz w:val="19"/>
              </w:rPr>
              <w:t>2</w:t>
            </w:r>
          </w:p>
        </w:tc>
        <w:tc>
          <w:tcPr>
            <w:tcW w:type="dxa" w:w="1296"/>
            <w:shd w:val="clear" w:fill="EAF1F8"/>
          </w:tcPr>
          <w:p>
            <w:r/>
            <w:r>
              <w:rPr>
                <w:sz w:val="19"/>
              </w:rPr>
              <w:t>Fake</w:t>
            </w:r>
          </w:p>
        </w:tc>
        <w:tc>
          <w:tcPr>
            <w:tcW w:type="dxa" w:w="4176"/>
            <w:shd w:val="clear" w:fill="EAF1F8"/>
          </w:tcPr>
          <w:p>
            <w:r/>
            <w:r>
              <w:rPr>
                <w:sz w:val="19"/>
              </w:rPr>
              <w:t>Implementación funcional pero simplificada (repos en memoria).</w:t>
            </w:r>
          </w:p>
        </w:tc>
        <w:tc>
          <w:tcPr>
            <w:tcW w:type="dxa" w:w="3456"/>
            <w:shd w:val="clear" w:fill="EAF1F8"/>
          </w:tcPr>
          <w:p>
            <w:r/>
            <w:r>
              <w:rPr>
                <w:sz w:val="19"/>
              </w:rPr>
              <w:t>Repos base en casi todos los caminos felices.</w:t>
            </w:r>
          </w:p>
        </w:tc>
      </w:tr>
      <w:tr>
        <w:tc>
          <w:tcPr>
            <w:tcW w:type="dxa" w:w="432"/>
          </w:tcPr>
          <w:p>
            <w:r/>
            <w:r>
              <w:rPr>
                <w:sz w:val="19"/>
              </w:rPr>
              <w:t>3</w:t>
            </w:r>
          </w:p>
        </w:tc>
        <w:tc>
          <w:tcPr>
            <w:tcW w:type="dxa" w:w="1296"/>
          </w:tcPr>
          <w:p>
            <w:r/>
            <w:r>
              <w:rPr>
                <w:sz w:val="19"/>
              </w:rPr>
              <w:t>Stub</w:t>
            </w:r>
          </w:p>
        </w:tc>
        <w:tc>
          <w:tcPr>
            <w:tcW w:type="dxa" w:w="4176"/>
          </w:tcPr>
          <w:p>
            <w:r/>
            <w:r>
              <w:rPr>
                <w:sz w:val="19"/>
              </w:rPr>
              <w:t>Devuelve respuestas enlatadas fijas; ignora argumentos.</w:t>
            </w:r>
          </w:p>
        </w:tc>
        <w:tc>
          <w:tcPr>
            <w:tcW w:type="dxa" w:w="3456"/>
          </w:tcPr>
          <w:p>
            <w:r/>
            <w:r>
              <w:rPr>
                <w:sz w:val="19"/>
              </w:rPr>
              <w:t>UpdatePocket y GetAccountPockets (cuenta enlatada).</w:t>
            </w:r>
          </w:p>
        </w:tc>
      </w:tr>
      <w:tr>
        <w:tc>
          <w:tcPr>
            <w:tcW w:type="dxa" w:w="432"/>
            <w:shd w:val="clear" w:fill="EAF1F8"/>
          </w:tcPr>
          <w:p>
            <w:r/>
            <w:r>
              <w:rPr>
                <w:sz w:val="19"/>
              </w:rPr>
              <w:t>4</w:t>
            </w:r>
          </w:p>
        </w:tc>
        <w:tc>
          <w:tcPr>
            <w:tcW w:type="dxa" w:w="1296"/>
            <w:shd w:val="clear" w:fill="EAF1F8"/>
          </w:tcPr>
          <w:p>
            <w:r/>
            <w:r>
              <w:rPr>
                <w:sz w:val="19"/>
              </w:rPr>
              <w:t>Spy</w:t>
            </w:r>
          </w:p>
        </w:tc>
        <w:tc>
          <w:tcPr>
            <w:tcW w:type="dxa" w:w="4176"/>
            <w:shd w:val="clear" w:fill="EAF1F8"/>
          </w:tcPr>
          <w:p>
            <w:r/>
            <w:r>
              <w:rPr>
                <w:sz w:val="19"/>
              </w:rPr>
              <w:t>Registra cómo fue llamado, para inspeccionarlo luego.</w:t>
            </w:r>
          </w:p>
        </w:tc>
        <w:tc>
          <w:tcPr>
            <w:tcW w:type="dxa" w:w="3456"/>
            <w:shd w:val="clear" w:fill="EAF1F8"/>
          </w:tcPr>
          <w:p>
            <w:r/>
            <w:r>
              <w:rPr>
                <w:sz w:val="19"/>
              </w:rPr>
              <w:t>CreatePocket/DeletePocket (verifica la notificación).</w:t>
            </w:r>
          </w:p>
        </w:tc>
      </w:tr>
      <w:tr>
        <w:tc>
          <w:tcPr>
            <w:tcW w:type="dxa" w:w="432"/>
          </w:tcPr>
          <w:p>
            <w:r/>
            <w:r>
              <w:rPr>
                <w:sz w:val="19"/>
              </w:rPr>
              <w:t>5</w:t>
            </w:r>
          </w:p>
        </w:tc>
        <w:tc>
          <w:tcPr>
            <w:tcW w:type="dxa" w:w="1296"/>
          </w:tcPr>
          <w:p>
            <w:r/>
            <w:r>
              <w:rPr>
                <w:sz w:val="19"/>
              </w:rPr>
              <w:t>Mock</w:t>
            </w:r>
          </w:p>
        </w:tc>
        <w:tc>
          <w:tcPr>
            <w:tcW w:type="dxa" w:w="4176"/>
          </w:tcPr>
          <w:p>
            <w:r/>
            <w:r>
              <w:rPr>
                <w:sz w:val="19"/>
              </w:rPr>
              <w:t>Objeto pre-programado con expectativas verificables (vi.fn()).</w:t>
            </w:r>
          </w:p>
        </w:tc>
        <w:tc>
          <w:tcPr>
            <w:tcW w:type="dxa" w:w="3456"/>
          </w:tcPr>
          <w:p>
            <w:r/>
            <w:r>
              <w:rPr>
                <w:sz w:val="19"/>
              </w:rPr>
              <w:t>CreatePocket (verifica updateBalance('acc-1', 380 000)).</w:t>
            </w:r>
          </w:p>
        </w:tc>
      </w:tr>
    </w:tbl>
    <w:p/>
    <w:p>
      <w:pPr>
        <w:pStyle w:val="Heading2"/>
      </w:pPr>
      <w:r>
        <w:t>4.5 Análisis estático — SonarQube / SonarCloud</w:t>
      </w:r>
    </w:p>
    <w:p>
      <w:r>
        <w:t>Sobre el mismo módulo se ejecuta análisis estático para medir: Quality Gate, Bugs, Vulnerabilidades, Code Smells, Deuda Técnica, Duplicación e Instantánea, importando la cobertura generada por Vitest (lcov.info).</w:t>
      </w:r>
    </w:p>
    <w:p>
      <w:pPr>
        <w:pStyle w:val="ListBullet"/>
      </w:pPr>
      <w:r>
        <w:t>Organización: alejodev11 · Project key: AlejoDev11_FuBanking · Host: sonarcloud.io.</w:t>
      </w:r>
    </w:p>
    <w:p>
      <w:pPr>
        <w:pStyle w:val="ListBullet"/>
      </w:pPr>
      <w:r>
        <w:t>La cobertura de Bolsillos se incorpora al include de cobertura en backend/vitest.config.ts (Pocket.ts + use-cases/pocket/*.ts) y se fusiona en el lcov.info que consume Sonar.</w:t>
      </w:r>
    </w:p>
    <w:p>
      <w:pPr>
        <w:pStyle w:val="Heading1"/>
      </w:pPr>
      <w:r>
        <w:t>5. Herramientas y entorno</w:t>
      </w:r>
    </w:p>
    <w:tbl>
      <w:tblPr>
        <w:tblStyle w:val="TableGrid"/>
        <w:tblW w:type="auto" w:w="0"/>
        <w:jc w:val="center"/>
        <w:tblLook w:firstColumn="1" w:firstRow="1" w:lastColumn="0" w:lastRow="0" w:noHBand="0" w:noVBand="1" w:val="04A0"/>
      </w:tblPr>
      <w:tblGrid>
        <w:gridCol w:w="4320"/>
        <w:gridCol w:w="4320"/>
      </w:tblGrid>
      <w:tr>
        <w:tc>
          <w:tcPr>
            <w:tcW w:type="dxa" w:w="2880"/>
            <w:shd w:val="clear" w:fill="1F4E79"/>
          </w:tcPr>
          <w:p>
            <w:r/>
            <w:r>
              <w:rPr>
                <w:b/>
                <w:color w:val="FFFFFF"/>
                <w:sz w:val="20"/>
              </w:rPr>
              <w:t>Herramienta</w:t>
            </w:r>
          </w:p>
        </w:tc>
        <w:tc>
          <w:tcPr>
            <w:tcW w:type="dxa" w:w="6480"/>
            <w:shd w:val="clear" w:fill="1F4E79"/>
          </w:tcPr>
          <w:p>
            <w:r/>
            <w:r>
              <w:rPr>
                <w:b/>
                <w:color w:val="FFFFFF"/>
                <w:sz w:val="20"/>
              </w:rPr>
              <w:t>Uso</w:t>
            </w:r>
          </w:p>
        </w:tc>
      </w:tr>
      <w:tr>
        <w:tc>
          <w:tcPr>
            <w:tcW w:type="dxa" w:w="2880"/>
          </w:tcPr>
          <w:p>
            <w:r/>
            <w:r>
              <w:rPr>
                <w:sz w:val="19"/>
              </w:rPr>
              <w:t>Vitest 4</w:t>
            </w:r>
          </w:p>
        </w:tc>
        <w:tc>
          <w:tcPr>
            <w:tcW w:type="dxa" w:w="6480"/>
          </w:tcPr>
          <w:p>
            <w:r/>
            <w:r>
              <w:rPr>
                <w:sz w:val="19"/>
              </w:rPr>
              <w:t>Framework de pruebas y aserciones</w:t>
            </w:r>
          </w:p>
        </w:tc>
      </w:tr>
      <w:tr>
        <w:tc>
          <w:tcPr>
            <w:tcW w:type="dxa" w:w="2880"/>
            <w:shd w:val="clear" w:fill="EAF1F8"/>
          </w:tcPr>
          <w:p>
            <w:r/>
            <w:r>
              <w:rPr>
                <w:sz w:val="19"/>
              </w:rPr>
              <w:t>@vitest/coverage-v8</w:t>
            </w:r>
          </w:p>
        </w:tc>
        <w:tc>
          <w:tcPr>
            <w:tcW w:type="dxa" w:w="6480"/>
            <w:shd w:val="clear" w:fill="EAF1F8"/>
          </w:tcPr>
          <w:p>
            <w:r/>
            <w:r>
              <w:rPr>
                <w:sz w:val="19"/>
              </w:rPr>
              <w:t>Cobertura (statements/branches/functions/lines)</w:t>
            </w:r>
          </w:p>
        </w:tc>
      </w:tr>
      <w:tr>
        <w:tc>
          <w:tcPr>
            <w:tcW w:type="dxa" w:w="2880"/>
          </w:tcPr>
          <w:p>
            <w:r/>
            <w:r>
              <w:rPr>
                <w:sz w:val="19"/>
              </w:rPr>
              <w:t>vi.fn()</w:t>
            </w:r>
          </w:p>
        </w:tc>
        <w:tc>
          <w:tcPr>
            <w:tcW w:type="dxa" w:w="6480"/>
          </w:tcPr>
          <w:p>
            <w:r/>
            <w:r>
              <w:rPr>
                <w:sz w:val="19"/>
              </w:rPr>
              <w:t>Construcción de Mocks y Spies</w:t>
            </w:r>
          </w:p>
        </w:tc>
      </w:tr>
      <w:tr>
        <w:tc>
          <w:tcPr>
            <w:tcW w:type="dxa" w:w="2880"/>
            <w:shd w:val="clear" w:fill="EAF1F8"/>
          </w:tcPr>
          <w:p>
            <w:r/>
            <w:r>
              <w:rPr>
                <w:sz w:val="19"/>
              </w:rPr>
              <w:t>TypeScript / tsx</w:t>
            </w:r>
          </w:p>
        </w:tc>
        <w:tc>
          <w:tcPr>
            <w:tcW w:type="dxa" w:w="6480"/>
            <w:shd w:val="clear" w:fill="EAF1F8"/>
          </w:tcPr>
          <w:p>
            <w:r/>
            <w:r>
              <w:rPr>
                <w:sz w:val="19"/>
              </w:rPr>
              <w:t>Lenguaje y ejecución</w:t>
            </w:r>
          </w:p>
        </w:tc>
      </w:tr>
      <w:tr>
        <w:tc>
          <w:tcPr>
            <w:tcW w:type="dxa" w:w="2880"/>
          </w:tcPr>
          <w:p>
            <w:r/>
            <w:r>
              <w:rPr>
                <w:sz w:val="19"/>
              </w:rPr>
              <w:t>SonarCloud</w:t>
            </w:r>
          </w:p>
        </w:tc>
        <w:tc>
          <w:tcPr>
            <w:tcW w:type="dxa" w:w="6480"/>
          </w:tcPr>
          <w:p>
            <w:r/>
            <w:r>
              <w:rPr>
                <w:sz w:val="19"/>
              </w:rPr>
              <w:t>Análisis estático y Quality Gate</w:t>
            </w:r>
          </w:p>
        </w:tc>
      </w:tr>
      <w:tr>
        <w:tc>
          <w:tcPr>
            <w:tcW w:type="dxa" w:w="2880"/>
            <w:shd w:val="clear" w:fill="EAF1F8"/>
          </w:tcPr>
          <w:p>
            <w:r/>
            <w:r>
              <w:rPr>
                <w:sz w:val="19"/>
              </w:rPr>
              <w:t>Node.js</w:t>
            </w:r>
          </w:p>
        </w:tc>
        <w:tc>
          <w:tcPr>
            <w:tcW w:type="dxa" w:w="6480"/>
            <w:shd w:val="clear" w:fill="EAF1F8"/>
          </w:tcPr>
          <w:p>
            <w:r/>
            <w:r>
              <w:rPr>
                <w:sz w:val="19"/>
              </w:rPr>
              <w:t>Runtime</w:t>
            </w:r>
          </w:p>
        </w:tc>
      </w:tr>
    </w:tbl>
    <w:p/>
    <w:p>
      <w:r>
        <w:t>Ejecución local (solo Bolsillos):</w:t>
      </w:r>
    </w:p>
    <w:p>
      <w:pPr>
        <w:ind w:left="288"/>
        <w:shd w:val="clear" w:fill="F2F2F2"/>
      </w:pPr>
      <w:r>
        <w:rPr>
          <w:rFonts w:ascii="Consolas" w:hAnsi="Consolas"/>
          <w:color w:val="222222"/>
          <w:sz w:val="18"/>
        </w:rPr>
        <w:t>cd backend</w:t>
      </w:r>
      <w:r>
        <w:rPr>
          <w:rFonts w:ascii="Consolas" w:hAnsi="Consolas"/>
          <w:color w:val="222222"/>
          <w:sz w:val="18"/>
        </w:rPr>
        <w:br/>
        <w:t>npx vitest run src/tests/unit/pocket</w:t>
      </w:r>
    </w:p>
    <w:p/>
    <w:p>
      <w:r>
        <w:t>Cobertura del módulo:</w:t>
      </w:r>
    </w:p>
    <w:p>
      <w:pPr>
        <w:ind w:left="288"/>
        <w:shd w:val="clear" w:fill="F2F2F2"/>
      </w:pPr>
      <w:r>
        <w:rPr>
          <w:rFonts w:ascii="Consolas" w:hAnsi="Consolas"/>
          <w:color w:val="222222"/>
          <w:sz w:val="18"/>
        </w:rPr>
        <w:t>cd backend</w:t>
      </w:r>
      <w:r>
        <w:rPr>
          <w:rFonts w:ascii="Consolas" w:hAnsi="Consolas"/>
          <w:color w:val="222222"/>
          <w:sz w:val="18"/>
        </w:rPr>
        <w:br/>
        <w:t>npx vitest run src/tests/unit/pocket --coverage \</w:t>
      </w:r>
      <w:r>
        <w:rPr>
          <w:rFonts w:ascii="Consolas" w:hAnsi="Consolas"/>
          <w:color w:val="222222"/>
          <w:sz w:val="18"/>
        </w:rPr>
        <w:br/>
        <w:t xml:space="preserve">  --coverage.include='src/application/use-cases/pocket/**' \</w:t>
      </w:r>
      <w:r>
        <w:rPr>
          <w:rFonts w:ascii="Consolas" w:hAnsi="Consolas"/>
          <w:color w:val="222222"/>
          <w:sz w:val="18"/>
        </w:rPr>
        <w:br/>
        <w:t xml:space="preserve">  --coverage.include='src/domain/entities/Pocket.ts'</w:t>
      </w:r>
    </w:p>
    <w:p/>
    <w:p>
      <w:pPr>
        <w:pStyle w:val="Heading1"/>
      </w:pPr>
      <w:r>
        <w:t>6. Diseño de casos y matriz de cobertura</w:t>
      </w:r>
    </w:p>
    <w:p>
      <w:r>
        <w:t>Se combinan camino feliz y caminos de error (validaciones de dominio) de cada caso de uso. La suite consta de 58 pruebas distribuidas así:</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fill="1F4E79"/>
          </w:tcPr>
          <w:p>
            <w:r/>
            <w:r>
              <w:rPr>
                <w:b/>
                <w:color w:val="FFFFFF"/>
                <w:sz w:val="20"/>
              </w:rPr>
              <w:t>Unidad</w:t>
            </w:r>
          </w:p>
        </w:tc>
        <w:tc>
          <w:tcPr>
            <w:tcW w:type="dxa" w:w="1008"/>
            <w:shd w:val="clear" w:fill="1F4E79"/>
          </w:tcPr>
          <w:p>
            <w:r/>
            <w:r>
              <w:rPr>
                <w:b/>
                <w:color w:val="FFFFFF"/>
                <w:sz w:val="20"/>
              </w:rPr>
              <w:t>Pruebas</w:t>
            </w:r>
          </w:p>
        </w:tc>
        <w:tc>
          <w:tcPr>
            <w:tcW w:type="dxa" w:w="5904"/>
            <w:shd w:val="clear" w:fill="1F4E79"/>
          </w:tcPr>
          <w:p>
            <w:r/>
            <w:r>
              <w:rPr>
                <w:b/>
                <w:color w:val="FFFFFF"/>
                <w:sz w:val="20"/>
              </w:rPr>
              <w:t>Ramas / condiciones principales cubiertas</w:t>
            </w:r>
          </w:p>
        </w:tc>
      </w:tr>
      <w:tr>
        <w:tc>
          <w:tcPr>
            <w:tcW w:type="dxa" w:w="2448"/>
          </w:tcPr>
          <w:p>
            <w:r/>
            <w:r>
              <w:rPr>
                <w:sz w:val="19"/>
              </w:rPr>
              <w:t>CreatePocket</w:t>
            </w:r>
          </w:p>
        </w:tc>
        <w:tc>
          <w:tcPr>
            <w:tcW w:type="dxa" w:w="1008"/>
          </w:tcPr>
          <w:p>
            <w:r/>
            <w:r>
              <w:rPr>
                <w:sz w:val="19"/>
              </w:rPr>
              <w:t>11</w:t>
            </w:r>
          </w:p>
        </w:tc>
        <w:tc>
          <w:tcPr>
            <w:tcW w:type="dxa" w:w="5904"/>
          </w:tcPr>
          <w:p>
            <w:r/>
            <w:r>
              <w:rPr>
                <w:sz w:val="19"/>
              </w:rPr>
              <w:t>monto negativo, cuenta inexistente, ajena (FORBIDDEN), no operativa, saldo insuficiente, feliz, con/sin notificación</w:t>
            </w:r>
          </w:p>
        </w:tc>
      </w:tr>
      <w:tr>
        <w:tc>
          <w:tcPr>
            <w:tcW w:type="dxa" w:w="2448"/>
            <w:shd w:val="clear" w:fill="EAF1F8"/>
          </w:tcPr>
          <w:p>
            <w:r/>
            <w:r>
              <w:rPr>
                <w:sz w:val="19"/>
              </w:rPr>
              <w:t>UpdatePocket</w:t>
            </w:r>
          </w:p>
        </w:tc>
        <w:tc>
          <w:tcPr>
            <w:tcW w:type="dxa" w:w="1008"/>
            <w:shd w:val="clear" w:fill="EAF1F8"/>
          </w:tcPr>
          <w:p>
            <w:r/>
            <w:r>
              <w:rPr>
                <w:sz w:val="19"/>
              </w:rPr>
              <w:t>14</w:t>
            </w:r>
          </w:p>
        </w:tc>
        <w:tc>
          <w:tcPr>
            <w:tcW w:type="dxa" w:w="5904"/>
            <w:shd w:val="clear" w:fill="EAF1F8"/>
          </w:tcPr>
          <w:p>
            <w:r/>
            <w:r>
              <w:rPr>
                <w:sz w:val="19"/>
              </w:rPr>
              <w:t>nombre vacío, monto negativo, bolsillo/cuenta inexistente, FORBIDDEN, no operativa, saldo insuficiente al ajustar, sin cambios, monto/nombre iguales</w:t>
            </w:r>
          </w:p>
        </w:tc>
      </w:tr>
      <w:tr>
        <w:tc>
          <w:tcPr>
            <w:tcW w:type="dxa" w:w="2448"/>
          </w:tcPr>
          <w:p>
            <w:r/>
            <w:r>
              <w:rPr>
                <w:sz w:val="19"/>
              </w:rPr>
              <w:t>DeletePocket</w:t>
            </w:r>
          </w:p>
        </w:tc>
        <w:tc>
          <w:tcPr>
            <w:tcW w:type="dxa" w:w="1008"/>
          </w:tcPr>
          <w:p>
            <w:r/>
            <w:r>
              <w:rPr>
                <w:sz w:val="19"/>
              </w:rPr>
              <w:t>8</w:t>
            </w:r>
          </w:p>
        </w:tc>
        <w:tc>
          <w:tcPr>
            <w:tcW w:type="dxa" w:w="5904"/>
          </w:tcPr>
          <w:p>
            <w:r/>
            <w:r>
              <w:rPr>
                <w:sz w:val="19"/>
              </w:rPr>
              <w:t>bolsillo/cuenta inexistente, FORBIDDEN, no operativa, restitución de saldo, con/sin notificación</w:t>
            </w:r>
          </w:p>
        </w:tc>
      </w:tr>
      <w:tr>
        <w:tc>
          <w:tcPr>
            <w:tcW w:type="dxa" w:w="2448"/>
            <w:shd w:val="clear" w:fill="EAF1F8"/>
          </w:tcPr>
          <w:p>
            <w:r/>
            <w:r>
              <w:rPr>
                <w:sz w:val="19"/>
              </w:rPr>
              <w:t>TransferPocketBalance</w:t>
            </w:r>
          </w:p>
        </w:tc>
        <w:tc>
          <w:tcPr>
            <w:tcW w:type="dxa" w:w="1008"/>
            <w:shd w:val="clear" w:fill="EAF1F8"/>
          </w:tcPr>
          <w:p>
            <w:r/>
            <w:r>
              <w:rPr>
                <w:sz w:val="19"/>
              </w:rPr>
              <w:t>11</w:t>
            </w:r>
          </w:p>
        </w:tc>
        <w:tc>
          <w:tcPr>
            <w:tcW w:type="dxa" w:w="5904"/>
            <w:shd w:val="clear" w:fill="EAF1F8"/>
          </w:tcPr>
          <w:p>
            <w:r/>
            <w:r>
              <w:rPr>
                <w:sz w:val="19"/>
              </w:rPr>
              <w:t>monto ≤ 0, mismo bolsillo, origen/destino inexistente, distinta cuenta, cuenta inexistente/ajena/no operativa, saldo insuficiente, feliz</w:t>
            </w:r>
          </w:p>
        </w:tc>
      </w:tr>
      <w:tr>
        <w:tc>
          <w:tcPr>
            <w:tcW w:type="dxa" w:w="2448"/>
          </w:tcPr>
          <w:p>
            <w:r/>
            <w:r>
              <w:rPr>
                <w:sz w:val="19"/>
              </w:rPr>
              <w:t>GetAccountPockets</w:t>
            </w:r>
          </w:p>
        </w:tc>
        <w:tc>
          <w:tcPr>
            <w:tcW w:type="dxa" w:w="1008"/>
          </w:tcPr>
          <w:p>
            <w:r/>
            <w:r>
              <w:rPr>
                <w:sz w:val="19"/>
              </w:rPr>
              <w:t>4</w:t>
            </w:r>
          </w:p>
        </w:tc>
        <w:tc>
          <w:tcPr>
            <w:tcW w:type="dxa" w:w="5904"/>
          </w:tcPr>
          <w:p>
            <w:r/>
            <w:r>
              <w:rPr>
                <w:sz w:val="19"/>
              </w:rPr>
              <w:t>cuenta inexistente, FORBIDDEN, lista con datos, lista vacía</w:t>
            </w:r>
          </w:p>
        </w:tc>
      </w:tr>
      <w:tr>
        <w:tc>
          <w:tcPr>
            <w:tcW w:type="dxa" w:w="2448"/>
            <w:shd w:val="clear" w:fill="EAF1F8"/>
          </w:tcPr>
          <w:p>
            <w:r/>
            <w:r>
              <w:rPr>
                <w:sz w:val="19"/>
              </w:rPr>
              <w:t>Pocket (entidad)</w:t>
            </w:r>
          </w:p>
        </w:tc>
        <w:tc>
          <w:tcPr>
            <w:tcW w:type="dxa" w:w="1008"/>
            <w:shd w:val="clear" w:fill="EAF1F8"/>
          </w:tcPr>
          <w:p>
            <w:r/>
            <w:r>
              <w:rPr>
                <w:sz w:val="19"/>
              </w:rPr>
              <w:t>10</w:t>
            </w:r>
          </w:p>
        </w:tc>
        <w:tc>
          <w:tcPr>
            <w:tcW w:type="dxa" w:w="5904"/>
            <w:shd w:val="clear" w:fill="EAF1F8"/>
          </w:tcPr>
          <w:p>
            <w:r/>
            <w:r>
              <w:rPr>
                <w:sz w:val="19"/>
              </w:rPr>
              <w:t>monto negativo/NaN/no-numérico, monto 0, create() recorta nombre, updateName/updateAmount, toPublic</w:t>
            </w:r>
          </w:p>
        </w:tc>
      </w:tr>
      <w:tr>
        <w:tc>
          <w:tcPr>
            <w:tcW w:type="dxa" w:w="2448"/>
          </w:tcPr>
          <w:p>
            <w:r/>
            <w:r>
              <w:rPr>
                <w:sz w:val="19"/>
              </w:rPr>
              <w:t>Total</w:t>
            </w:r>
          </w:p>
        </w:tc>
        <w:tc>
          <w:tcPr>
            <w:tcW w:type="dxa" w:w="1008"/>
          </w:tcPr>
          <w:p>
            <w:r/>
            <w:r>
              <w:rPr>
                <w:sz w:val="19"/>
              </w:rPr>
              <w:t>58</w:t>
            </w:r>
          </w:p>
        </w:tc>
        <w:tc>
          <w:tcPr>
            <w:tcW w:type="dxa" w:w="5904"/>
          </w:tcPr>
          <w:p>
            <w:r/>
            <w:r>
              <w:rPr>
                <w:sz w:val="19"/>
              </w:rPr>
            </w:r>
          </w:p>
        </w:tc>
      </w:tr>
    </w:tbl>
    <w:p/>
    <w:p>
      <w:pPr>
        <w:pStyle w:val="Heading1"/>
      </w:pPr>
      <w:r>
        <w:t>7. Criterios de entrada y de salida</w:t>
      </w:r>
    </w:p>
    <w:p>
      <w:r>
        <w:t>Entrada: el código del módulo compila; dobles de prueba disponibles; entorno Vitest instalado.</w:t>
      </w:r>
    </w:p>
    <w:p>
      <w:r>
        <w:t>Salida (definición de "hecho"):</w:t>
      </w:r>
    </w:p>
    <w:p>
      <w:r>
        <w:rPr>
          <w:color w:val="2E7D32"/>
          <w:sz w:val="22"/>
        </w:rPr>
        <w:t xml:space="preserve">☑ </w:t>
      </w:r>
      <w:r>
        <w:rPr>
          <w:sz w:val="21"/>
        </w:rPr>
        <w:t>Las 58 pruebas pasan sin errores.</w:t>
      </w:r>
    </w:p>
    <w:p>
      <w:r>
        <w:rPr>
          <w:color w:val="2E7D32"/>
          <w:sz w:val="22"/>
        </w:rPr>
        <w:t xml:space="preserve">☑ </w:t>
      </w:r>
      <w:r>
        <w:rPr>
          <w:sz w:val="21"/>
        </w:rPr>
        <w:t>Cobertura del módulo 100% (statements, branches, functions, lines).</w:t>
      </w:r>
    </w:p>
    <w:p>
      <w:r>
        <w:rPr>
          <w:color w:val="2E7D32"/>
          <w:sz w:val="22"/>
        </w:rPr>
        <w:t xml:space="preserve">☑ </w:t>
      </w:r>
      <w:r>
        <w:rPr>
          <w:sz w:val="21"/>
        </w:rPr>
        <w:t>Se demuestran los 5 tipos de dobles con patrón AAA y principios FIRST.</w:t>
      </w:r>
    </w:p>
    <w:p>
      <w:r>
        <w:rPr>
          <w:sz w:val="22"/>
        </w:rPr>
        <w:t xml:space="preserve">☐ </w:t>
      </w:r>
      <w:r>
        <w:rPr>
          <w:sz w:val="21"/>
        </w:rPr>
        <w:t>SonarCloud: Quality Gate en verde con calificación A (Bugs, Vulnerabilidades, Deuda).</w:t>
      </w:r>
    </w:p>
    <w:p>
      <w:r>
        <w:rPr>
          <w:sz w:val="22"/>
        </w:rPr>
        <w:t xml:space="preserve">☐ </w:t>
      </w:r>
      <w:r>
        <w:rPr>
          <w:sz w:val="21"/>
        </w:rPr>
        <w:t>Quality Gate estricto: cobertura ≥ 90%, duplicación ≤ 2%, deuda técnica ≤ 90 min.</w:t>
      </w:r>
    </w:p>
    <w:p>
      <w:pPr>
        <w:pStyle w:val="Heading1"/>
      </w:pPr>
      <w:r>
        <w:t>8. Métricas objetivo (alineadas a la rúbrica)</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fill="1F4E79"/>
          </w:tcPr>
          <w:p>
            <w:r/>
            <w:r>
              <w:rPr>
                <w:b/>
                <w:color w:val="FFFFFF"/>
                <w:sz w:val="20"/>
              </w:rPr>
              <w:t>Métrica</w:t>
            </w:r>
          </w:p>
        </w:tc>
        <w:tc>
          <w:tcPr>
            <w:tcW w:type="dxa" w:w="2448"/>
            <w:shd w:val="clear" w:fill="1F4E79"/>
          </w:tcPr>
          <w:p>
            <w:r/>
            <w:r>
              <w:rPr>
                <w:b/>
                <w:color w:val="FFFFFF"/>
                <w:sz w:val="20"/>
              </w:rPr>
              <w:t>Umbral objetivo</w:t>
            </w:r>
          </w:p>
        </w:tc>
        <w:tc>
          <w:tcPr>
            <w:tcW w:type="dxa" w:w="3168"/>
            <w:shd w:val="clear" w:fill="1F4E79"/>
          </w:tcPr>
          <w:p>
            <w:r/>
            <w:r>
              <w:rPr>
                <w:b/>
                <w:color w:val="FFFFFF"/>
                <w:sz w:val="20"/>
              </w:rPr>
              <w:t>Estado del módulo</w:t>
            </w:r>
          </w:p>
        </w:tc>
      </w:tr>
      <w:tr>
        <w:tc>
          <w:tcPr>
            <w:tcW w:type="dxa" w:w="3744"/>
          </w:tcPr>
          <w:p>
            <w:r/>
            <w:r>
              <w:rPr>
                <w:sz w:val="19"/>
              </w:rPr>
              <w:t>Cobertura de pruebas</w:t>
            </w:r>
          </w:p>
        </w:tc>
        <w:tc>
          <w:tcPr>
            <w:tcW w:type="dxa" w:w="2448"/>
          </w:tcPr>
          <w:p>
            <w:r/>
            <w:r>
              <w:rPr>
                <w:sz w:val="19"/>
              </w:rPr>
              <w:t>≥ 90%</w:t>
            </w:r>
          </w:p>
        </w:tc>
        <w:tc>
          <w:tcPr>
            <w:tcW w:type="dxa" w:w="3168"/>
          </w:tcPr>
          <w:p>
            <w:r/>
            <w:r>
              <w:rPr>
                <w:sz w:val="19"/>
              </w:rPr>
              <w:t>100% ✔</w:t>
            </w:r>
          </w:p>
        </w:tc>
      </w:tr>
      <w:tr>
        <w:tc>
          <w:tcPr>
            <w:tcW w:type="dxa" w:w="3744"/>
            <w:shd w:val="clear" w:fill="EAF1F8"/>
          </w:tcPr>
          <w:p>
            <w:r/>
            <w:r>
              <w:rPr>
                <w:sz w:val="19"/>
              </w:rPr>
              <w:t>Duplicación de código</w:t>
            </w:r>
          </w:p>
        </w:tc>
        <w:tc>
          <w:tcPr>
            <w:tcW w:type="dxa" w:w="2448"/>
            <w:shd w:val="clear" w:fill="EAF1F8"/>
          </w:tcPr>
          <w:p>
            <w:r/>
            <w:r>
              <w:rPr>
                <w:sz w:val="19"/>
              </w:rPr>
              <w:t>≤ 2%</w:t>
            </w:r>
          </w:p>
        </w:tc>
        <w:tc>
          <w:tcPr>
            <w:tcW w:type="dxa" w:w="3168"/>
            <w:shd w:val="clear" w:fill="EAF1F8"/>
          </w:tcPr>
          <w:p>
            <w:r/>
            <w:r>
              <w:rPr>
                <w:sz w:val="19"/>
              </w:rPr>
              <w:t>por medir en Sonar</w:t>
            </w:r>
          </w:p>
        </w:tc>
      </w:tr>
      <w:tr>
        <w:tc>
          <w:tcPr>
            <w:tcW w:type="dxa" w:w="3744"/>
          </w:tcPr>
          <w:p>
            <w:r/>
            <w:r>
              <w:rPr>
                <w:sz w:val="19"/>
              </w:rPr>
              <w:t>Deuda técnica</w:t>
            </w:r>
          </w:p>
        </w:tc>
        <w:tc>
          <w:tcPr>
            <w:tcW w:type="dxa" w:w="2448"/>
          </w:tcPr>
          <w:p>
            <w:r/>
            <w:r>
              <w:rPr>
                <w:sz w:val="19"/>
              </w:rPr>
              <w:t>≤ 90 min</w:t>
            </w:r>
          </w:p>
        </w:tc>
        <w:tc>
          <w:tcPr>
            <w:tcW w:type="dxa" w:w="3168"/>
          </w:tcPr>
          <w:p>
            <w:r/>
            <w:r>
              <w:rPr>
                <w:sz w:val="19"/>
              </w:rPr>
              <w:t>por medir en Sonar</w:t>
            </w:r>
          </w:p>
        </w:tc>
      </w:tr>
      <w:tr>
        <w:tc>
          <w:tcPr>
            <w:tcW w:type="dxa" w:w="3744"/>
            <w:shd w:val="clear" w:fill="EAF1F8"/>
          </w:tcPr>
          <w:p>
            <w:r/>
            <w:r>
              <w:rPr>
                <w:sz w:val="19"/>
              </w:rPr>
              <w:t>Calificación fiabilidad/seguridad/mantenibilidad</w:t>
            </w:r>
          </w:p>
        </w:tc>
        <w:tc>
          <w:tcPr>
            <w:tcW w:type="dxa" w:w="2448"/>
            <w:shd w:val="clear" w:fill="EAF1F8"/>
          </w:tcPr>
          <w:p>
            <w:r/>
            <w:r>
              <w:rPr>
                <w:sz w:val="19"/>
              </w:rPr>
              <w:t>A</w:t>
            </w:r>
          </w:p>
        </w:tc>
        <w:tc>
          <w:tcPr>
            <w:tcW w:type="dxa" w:w="3168"/>
            <w:shd w:val="clear" w:fill="EAF1F8"/>
          </w:tcPr>
          <w:p>
            <w:r/>
            <w:r>
              <w:rPr>
                <w:sz w:val="19"/>
              </w:rPr>
              <w:t>por medir en Sonar</w:t>
            </w:r>
          </w:p>
        </w:tc>
      </w:tr>
      <w:tr>
        <w:tc>
          <w:tcPr>
            <w:tcW w:type="dxa" w:w="3744"/>
          </w:tcPr>
          <w:p>
            <w:r/>
            <w:r>
              <w:rPr>
                <w:sz w:val="19"/>
              </w:rPr>
              <w:t>Complejidad ciclomática</w:t>
            </w:r>
          </w:p>
        </w:tc>
        <w:tc>
          <w:tcPr>
            <w:tcW w:type="dxa" w:w="2448"/>
          </w:tcPr>
          <w:p>
            <w:r/>
            <w:r>
              <w:rPr>
                <w:sz w:val="19"/>
              </w:rPr>
              <w:t>evaluación manual + Sonar</w:t>
            </w:r>
          </w:p>
        </w:tc>
        <w:tc>
          <w:tcPr>
            <w:tcW w:type="dxa" w:w="3168"/>
          </w:tcPr>
          <w:p>
            <w:r/>
            <w:r>
              <w:rPr>
                <w:sz w:val="19"/>
              </w:rPr>
              <w:t>UpdatePocket es el más complejo → candidato a refactor</w:t>
            </w:r>
          </w:p>
        </w:tc>
      </w:tr>
    </w:tbl>
    <w:p/>
    <w:p>
      <w:pPr>
        <w:pStyle w:val="Heading1"/>
      </w:pPr>
      <w:r>
        <w:t>9. Riesgos y dependencias</w:t>
      </w:r>
    </w:p>
    <w:p>
      <w:pPr>
        <w:pStyle w:val="ListBullet"/>
      </w:pPr>
      <w:r>
        <w:t>Tabla pockets ausente en Supabase: el repositorio real degrada a un Map en memoria; por eso la integración queda para una fase posterior y esta fase usa dobles.</w:t>
      </w:r>
    </w:p>
    <w:p>
      <w:pPr>
        <w:pStyle w:val="ListBullet"/>
      </w:pPr>
      <w:r>
        <w:t>Archivos compartidos (vitest.config.ts, sonar-project.properties): se editan de forma aditiva y coordinada con el equipo para evitar conflictos de merge.</w:t>
      </w:r>
    </w:p>
    <w:p>
      <w:pPr>
        <w:pStyle w:val="ListBullet"/>
      </w:pPr>
      <w:r>
        <w:t>UpdatePocket concentra la mayor complejidad del módulo → riesgo de mantenibilidad; se abordará en la fase de refactorización con reejecución de SonarQube.</w:t>
      </w:r>
    </w:p>
    <w:p>
      <w:pPr>
        <w:pStyle w:val="Heading1"/>
      </w:pPr>
      <w:r>
        <w:t>10. Responsables y entregables</w:t>
      </w:r>
    </w:p>
    <w:tbl>
      <w:tblPr>
        <w:tblStyle w:val="TableGrid"/>
        <w:tblW w:type="auto" w:w="0"/>
        <w:jc w:val="center"/>
        <w:tblLook w:firstColumn="1" w:firstRow="1" w:lastColumn="0" w:lastRow="0" w:noHBand="0" w:noVBand="1" w:val="04A0"/>
      </w:tblPr>
      <w:tblGrid>
        <w:gridCol w:w="4320"/>
        <w:gridCol w:w="4320"/>
      </w:tblGrid>
      <w:tr>
        <w:tc>
          <w:tcPr>
            <w:tcW w:type="dxa" w:w="4896"/>
            <w:shd w:val="clear" w:fill="1F4E79"/>
          </w:tcPr>
          <w:p>
            <w:r/>
            <w:r>
              <w:rPr>
                <w:b/>
                <w:color w:val="FFFFFF"/>
                <w:sz w:val="20"/>
              </w:rPr>
              <w:t>Entregable</w:t>
            </w:r>
          </w:p>
        </w:tc>
        <w:tc>
          <w:tcPr>
            <w:tcW w:type="dxa" w:w="4464"/>
            <w:shd w:val="clear" w:fill="1F4E79"/>
          </w:tcPr>
          <w:p>
            <w:r/>
            <w:r>
              <w:rPr>
                <w:b/>
                <w:color w:val="FFFFFF"/>
                <w:sz w:val="20"/>
              </w:rPr>
              <w:t>Ubicación</w:t>
            </w:r>
          </w:p>
        </w:tc>
      </w:tr>
      <w:tr>
        <w:tc>
          <w:tcPr>
            <w:tcW w:type="dxa" w:w="4896"/>
          </w:tcPr>
          <w:p>
            <w:r/>
            <w:r>
              <w:rPr>
                <w:sz w:val="19"/>
              </w:rPr>
              <w:t>Suite de pruebas unitarias (7 archivos)</w:t>
            </w:r>
          </w:p>
        </w:tc>
        <w:tc>
          <w:tcPr>
            <w:tcW w:type="dxa" w:w="4464"/>
          </w:tcPr>
          <w:p>
            <w:r/>
            <w:r>
              <w:rPr>
                <w:sz w:val="19"/>
              </w:rPr>
              <w:t>backend/src/tests/unit/pocket/</w:t>
            </w:r>
          </w:p>
        </w:tc>
      </w:tr>
      <w:tr>
        <w:tc>
          <w:tcPr>
            <w:tcW w:type="dxa" w:w="4896"/>
            <w:shd w:val="clear" w:fill="EAF1F8"/>
          </w:tcPr>
          <w:p>
            <w:r/>
            <w:r>
              <w:rPr>
                <w:sz w:val="19"/>
              </w:rPr>
              <w:t>Definición de los 5 dobles</w:t>
            </w:r>
          </w:p>
        </w:tc>
        <w:tc>
          <w:tcPr>
            <w:tcW w:type="dxa" w:w="4464"/>
            <w:shd w:val="clear" w:fill="EAF1F8"/>
          </w:tcPr>
          <w:p>
            <w:r/>
            <w:r>
              <w:rPr>
                <w:sz w:val="19"/>
              </w:rPr>
              <w:t>backend/src/tests/unit/pocket/test-doubles.ts</w:t>
            </w:r>
          </w:p>
        </w:tc>
      </w:tr>
      <w:tr>
        <w:tc>
          <w:tcPr>
            <w:tcW w:type="dxa" w:w="4896"/>
          </w:tcPr>
          <w:p>
            <w:r/>
            <w:r>
              <w:rPr>
                <w:sz w:val="19"/>
              </w:rPr>
              <w:t>Este plan de pruebas</w:t>
            </w:r>
          </w:p>
        </w:tc>
        <w:tc>
          <w:tcPr>
            <w:tcW w:type="dxa" w:w="4464"/>
          </w:tcPr>
          <w:p>
            <w:r/>
            <w:r>
              <w:rPr>
                <w:sz w:val="19"/>
              </w:rPr>
              <w:t>docs/plan-de-pruebas-bolsillos.md</w:t>
            </w:r>
          </w:p>
        </w:tc>
      </w:tr>
      <w:tr>
        <w:tc>
          <w:tcPr>
            <w:tcW w:type="dxa" w:w="4896"/>
            <w:shd w:val="clear" w:fill="EAF1F8"/>
          </w:tcPr>
          <w:p>
            <w:r/>
            <w:r>
              <w:rPr>
                <w:sz w:val="19"/>
              </w:rPr>
              <w:t>Métricas manuales de Bolsillos</w:t>
            </w:r>
          </w:p>
        </w:tc>
        <w:tc>
          <w:tcPr>
            <w:tcW w:type="dxa" w:w="4464"/>
            <w:shd w:val="clear" w:fill="EAF1F8"/>
          </w:tcPr>
          <w:p>
            <w:r/>
            <w:r>
              <w:rPr>
                <w:sz w:val="19"/>
              </w:rPr>
              <w:t>docs/Metricas-Bolsillos.xlsx (+ -Detalle.docx)</w:t>
            </w:r>
          </w:p>
        </w:tc>
      </w:tr>
      <w:tr>
        <w:tc>
          <w:tcPr>
            <w:tcW w:type="dxa" w:w="4896"/>
          </w:tcPr>
          <w:p>
            <w:r/>
            <w:r>
              <w:rPr>
                <w:sz w:val="19"/>
              </w:rPr>
              <w:t>Resultados SonarCloud (instantáneas antes/después)</w:t>
            </w:r>
          </w:p>
        </w:tc>
        <w:tc>
          <w:tcPr>
            <w:tcW w:type="dxa" w:w="4464"/>
          </w:tcPr>
          <w:p>
            <w:r/>
            <w:r>
              <w:rPr>
                <w:sz w:val="19"/>
              </w:rPr>
              <w:t>pendiente de corrida</w:t>
            </w:r>
          </w:p>
        </w:tc>
      </w:tr>
    </w:tbl>
    <w:p/>
    <w:p>
      <w:pPr>
        <w:pStyle w:val="Heading1"/>
      </w:pPr>
      <w:r>
        <w:t>11. Anexo — Mapa prueba → doble de prueba</w:t>
      </w:r>
    </w:p>
    <w:tbl>
      <w:tblPr>
        <w:tblStyle w:val="TableGrid"/>
        <w:tblW w:type="auto" w:w="0"/>
        <w:jc w:val="center"/>
        <w:tblLook w:firstColumn="1" w:firstRow="1" w:lastColumn="0" w:lastRow="0" w:noHBand="0" w:noVBand="1" w:val="04A0"/>
      </w:tblPr>
      <w:tblGrid>
        <w:gridCol w:w="4320"/>
        <w:gridCol w:w="4320"/>
      </w:tblGrid>
      <w:tr>
        <w:tc>
          <w:tcPr>
            <w:tcW w:type="dxa" w:w="4608"/>
            <w:shd w:val="clear" w:fill="1F4E79"/>
          </w:tcPr>
          <w:p>
            <w:r/>
            <w:r>
              <w:rPr>
                <w:b/>
                <w:color w:val="FFFFFF"/>
                <w:sz w:val="20"/>
              </w:rPr>
              <w:t>Archivo de prueba</w:t>
            </w:r>
          </w:p>
        </w:tc>
        <w:tc>
          <w:tcPr>
            <w:tcW w:type="dxa" w:w="4752"/>
            <w:shd w:val="clear" w:fill="1F4E79"/>
          </w:tcPr>
          <w:p>
            <w:r/>
            <w:r>
              <w:rPr>
                <w:b/>
                <w:color w:val="FFFFFF"/>
                <w:sz w:val="20"/>
              </w:rPr>
              <w:t>Dobles que demuestra</w:t>
            </w:r>
          </w:p>
        </w:tc>
      </w:tr>
      <w:tr>
        <w:tc>
          <w:tcPr>
            <w:tcW w:type="dxa" w:w="4608"/>
          </w:tcPr>
          <w:p>
            <w:r/>
            <w:r>
              <w:rPr>
                <w:sz w:val="19"/>
              </w:rPr>
              <w:t>CreatePocket.test.ts</w:t>
            </w:r>
          </w:p>
        </w:tc>
        <w:tc>
          <w:tcPr>
            <w:tcW w:type="dxa" w:w="4752"/>
          </w:tcPr>
          <w:p>
            <w:r/>
            <w:r>
              <w:rPr>
                <w:sz w:val="19"/>
              </w:rPr>
              <w:t>Dummy, Fake, Spy, Mock</w:t>
            </w:r>
          </w:p>
        </w:tc>
      </w:tr>
      <w:tr>
        <w:tc>
          <w:tcPr>
            <w:tcW w:type="dxa" w:w="4608"/>
            <w:shd w:val="clear" w:fill="EAF1F8"/>
          </w:tcPr>
          <w:p>
            <w:r/>
            <w:r>
              <w:rPr>
                <w:sz w:val="19"/>
              </w:rPr>
              <w:t>UpdatePocket.test.ts</w:t>
            </w:r>
          </w:p>
        </w:tc>
        <w:tc>
          <w:tcPr>
            <w:tcW w:type="dxa" w:w="4752"/>
            <w:shd w:val="clear" w:fill="EAF1F8"/>
          </w:tcPr>
          <w:p>
            <w:r/>
            <w:r>
              <w:rPr>
                <w:sz w:val="19"/>
              </w:rPr>
              <w:t>Fake, Stub</w:t>
            </w:r>
          </w:p>
        </w:tc>
      </w:tr>
      <w:tr>
        <w:tc>
          <w:tcPr>
            <w:tcW w:type="dxa" w:w="4608"/>
          </w:tcPr>
          <w:p>
            <w:r/>
            <w:r>
              <w:rPr>
                <w:sz w:val="19"/>
              </w:rPr>
              <w:t>DeletePocket.test.ts</w:t>
            </w:r>
          </w:p>
        </w:tc>
        <w:tc>
          <w:tcPr>
            <w:tcW w:type="dxa" w:w="4752"/>
          </w:tcPr>
          <w:p>
            <w:r/>
            <w:r>
              <w:rPr>
                <w:sz w:val="19"/>
              </w:rPr>
              <w:t>Fake, Spy</w:t>
            </w:r>
          </w:p>
        </w:tc>
      </w:tr>
      <w:tr>
        <w:tc>
          <w:tcPr>
            <w:tcW w:type="dxa" w:w="4608"/>
            <w:shd w:val="clear" w:fill="EAF1F8"/>
          </w:tcPr>
          <w:p>
            <w:r/>
            <w:r>
              <w:rPr>
                <w:sz w:val="19"/>
              </w:rPr>
              <w:t>TransferPocketBalance.test.ts</w:t>
            </w:r>
          </w:p>
        </w:tc>
        <w:tc>
          <w:tcPr>
            <w:tcW w:type="dxa" w:w="4752"/>
            <w:shd w:val="clear" w:fill="EAF1F8"/>
          </w:tcPr>
          <w:p>
            <w:r/>
            <w:r>
              <w:rPr>
                <w:sz w:val="19"/>
              </w:rPr>
              <w:t>Fake</w:t>
            </w:r>
          </w:p>
        </w:tc>
      </w:tr>
      <w:tr>
        <w:tc>
          <w:tcPr>
            <w:tcW w:type="dxa" w:w="4608"/>
          </w:tcPr>
          <w:p>
            <w:r/>
            <w:r>
              <w:rPr>
                <w:sz w:val="19"/>
              </w:rPr>
              <w:t>GetAccountPockets.test.ts</w:t>
            </w:r>
          </w:p>
        </w:tc>
        <w:tc>
          <w:tcPr>
            <w:tcW w:type="dxa" w:w="4752"/>
          </w:tcPr>
          <w:p>
            <w:r/>
            <w:r>
              <w:rPr>
                <w:sz w:val="19"/>
              </w:rPr>
              <w:t>Fake, Stub</w:t>
            </w:r>
          </w:p>
        </w:tc>
      </w:tr>
      <w:tr>
        <w:tc>
          <w:tcPr>
            <w:tcW w:type="dxa" w:w="4608"/>
            <w:shd w:val="clear" w:fill="EAF1F8"/>
          </w:tcPr>
          <w:p>
            <w:r/>
            <w:r>
              <w:rPr>
                <w:sz w:val="19"/>
              </w:rPr>
              <w:t>Pocket.entity.test.ts</w:t>
            </w:r>
          </w:p>
        </w:tc>
        <w:tc>
          <w:tcPr>
            <w:tcW w:type="dxa" w:w="4752"/>
            <w:shd w:val="clear" w:fill="EAF1F8"/>
          </w:tcPr>
          <w:p>
            <w:r/>
            <w:r>
              <w:rPr>
                <w:sz w:val="19"/>
              </w:rPr>
              <w:t>(unidad pura, sin dobles)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