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300"/>
        <w:jc w:val="center"/>
      </w:pPr>
      <w:r>
        <w:rPr>
          <w:rFonts w:ascii="Arial" w:cs="Arial" w:eastAsia="Arial" w:hAnsi="Arial"/>
          <w:b/>
          <w:bCs/>
          <w:color w:val="1F3864"/>
          <w:sz w:val="36"/>
          <w:szCs w:val="36"/>
        </w:rPr>
        <w:t xml:space="preserve">INBOUND MARKETING III – MKA1215</w:t>
      </w:r>
    </w:p>
    <w:p>
      <w:pPr>
        <w:spacing w:after="200"/>
        <w:jc w:val="center"/>
      </w:pPr>
      <w:r>
        <w:rPr>
          <w:rFonts w:ascii="Arial" w:cs="Arial" w:eastAsia="Arial" w:hAnsi="Arial"/>
          <w:color w:val="2E5090"/>
          <w:sz w:val="28"/>
          <w:szCs w:val="28"/>
        </w:rPr>
        <w:t xml:space="preserve">Evaluación Parcial N°1 – Encargo con Presentación</w:t>
      </w:r>
    </w:p>
    <w:p>
      <w:pPr>
        <w:spacing w:after="200"/>
        <w:jc w:val="center"/>
      </w:pPr>
      <w:r>
        <w:rPr>
          <w:rFonts w:ascii="Arial" w:cs="Arial" w:eastAsia="Arial" w:hAnsi="Arial"/>
          <w:b/>
          <w:bCs/>
          <w:color w:val="2E5090"/>
          <w:sz w:val="28"/>
          <w:szCs w:val="28"/>
        </w:rPr>
        <w:t xml:space="preserve">Estrategia de Marketing Conversacional Integrada</w:t>
      </w:r>
    </w:p>
    <w:p>
      <w:pPr>
        <w:spacing w:after="400"/>
        <w:jc w:val="center"/>
      </w:pPr>
      <w:r>
        <w:rPr>
          <w:rFonts w:ascii="Arial" w:cs="Arial" w:eastAsia="Arial" w:hAnsi="Arial"/>
          <w:color w:val="1F3864"/>
          <w:sz w:val="26"/>
          <w:szCs w:val="26"/>
        </w:rPr>
        <w:t xml:space="preserve">Caso: Cumplo Inversionistas</w:t>
      </w:r>
    </w:p>
    <w:p>
      <w:pPr>
        <w:spacing w:after="100"/>
      </w:pPr>
    </w:p>
    <w:p>
      <w:pPr>
        <w:spacing w:after="200"/>
        <w:jc w:val="center"/>
      </w:pPr>
      <w:r>
        <w:rPr>
          <w:rFonts w:ascii="Arial" w:cs="Arial" w:eastAsia="Arial" w:hAnsi="Arial"/>
          <w:color w:val="444444"/>
          <w:sz w:val="24"/>
          <w:szCs w:val="24"/>
        </w:rPr>
        <w:t xml:space="preserve">DuocUC – 2026</w:t>
      </w:r>
    </w:p>
    <w:p>
      <w:r>
        <w:br w:type="page"/>
      </w:r>
    </w:p>
    <w:p>
      <w:pPr>
        <w:pStyle w:val="Heading1"/>
        <w:spacing w:after="200" w:before="360"/>
      </w:pPr>
      <w:r>
        <w:rPr>
          <w:rFonts w:ascii="Arial" w:cs="Arial" w:eastAsia="Arial" w:hAnsi="Arial"/>
          <w:b/>
          <w:bCs/>
          <w:color w:val="1F3864"/>
          <w:sz w:val="28"/>
          <w:szCs w:val="28"/>
        </w:rPr>
        <w:t xml:space="preserve">1. Introducción</w:t>
      </w:r>
    </w:p>
    <w:p>
      <w:pPr>
        <w:spacing w:after="200" w:line="276"/>
        <w:jc w:val="both"/>
      </w:pPr>
      <w:r>
        <w:rPr>
          <w:rFonts w:ascii="Arial" w:cs="Arial" w:eastAsia="Arial" w:hAnsi="Arial"/>
          <w:color w:val="000000"/>
          <w:sz w:val="22"/>
          <w:szCs w:val="22"/>
        </w:rPr>
        <w:t xml:space="preserve">Cumplo es una plataforma chilena de financiamiento colaborativo que conecta empresas que necesitan capital de crecimiento con personas dispuestas a invertir en sus proyectos. Desde su posición en el mercado fintech latinoamericano, la empresa ha acumulado más de USD 3.300 millones financiados, apoyando a más de 7.200 pymes a través de más de 200.000 operaciones, con una tasa de default históricamente baja del 0,45% (Cumplo, 2025a). Estos indicadores constituyen uno de los principales activos de credibilidad de la marca y son el punto de partida desde el cual se construye su propuesta para inversionistas.</w:t>
      </w:r>
    </w:p>
    <w:p>
      <w:pPr>
        <w:spacing w:after="200" w:line="276"/>
        <w:jc w:val="both"/>
      </w:pPr>
      <w:r>
        <w:rPr>
          <w:rFonts w:ascii="Arial" w:cs="Arial" w:eastAsia="Arial" w:hAnsi="Arial"/>
          <w:color w:val="000000"/>
          <w:sz w:val="22"/>
          <w:szCs w:val="22"/>
        </w:rPr>
        <w:t xml:space="preserve">El presente informe se centra específicamente en la dimensión de Cumplo Inversionistas, es decir, en la captación y conversión de personas que buscan alternativas para rentabilizar sus ahorros. La plataforma ofrece dos grandes líneas de inversión: los tokens (Puma Token e Index Token), orientados a perfiles que prefieren simplicidad, diversificación automática y acceso desde poco más de $100.000 pesos; y la inversión directa en solicitudes de financiamiento, orientada a inversionistas más sofisticados con mayor tolerancia al riesgo y capacidad de selección activa de oportunidades (Cumplo, 2025b).</w:t>
      </w:r>
    </w:p>
    <w:p>
      <w:pPr>
        <w:spacing w:after="200" w:line="276"/>
        <w:jc w:val="both"/>
      </w:pPr>
      <w:r>
        <w:rPr>
          <w:rFonts w:ascii="Arial" w:cs="Arial" w:eastAsia="Arial" w:hAnsi="Arial"/>
          <w:color w:val="000000"/>
          <w:sz w:val="22"/>
          <w:szCs w:val="22"/>
        </w:rPr>
        <w:t xml:space="preserve">El marketing conversacional resulta especialmente pertinente para este caso porque el producto financiero que ofrece Cumplo involucra un alto nivel de involucramiento cognitivo y emocional por parte del potencial inversionista. Decisiones sobre dónde invertir el dinero no se toman en un clic: requieren información progresiva, resolución de dudas específicas, comparación de alternativas y, sobre todo, construcción de confianza en la marca. En ese contexto, un flujo de comunicación personalizado, disponible en múltiples canales y activado por el comportamiento del usuario, tiene ventajas estructurales claras sobre formatos pasivos como un banner o una pauta de display.</w:t>
      </w:r>
    </w:p>
    <w:p>
      <w:pPr>
        <w:spacing w:after="200" w:line="276"/>
        <w:jc w:val="both"/>
      </w:pPr>
      <w:r>
        <w:rPr>
          <w:rFonts w:ascii="Arial" w:cs="Arial" w:eastAsia="Arial" w:hAnsi="Arial"/>
          <w:color w:val="000000"/>
          <w:sz w:val="22"/>
          <w:szCs w:val="22"/>
        </w:rPr>
        <w:t xml:space="preserve">La hipótesis estratégica que organiza este trabajo es que la principal barrera de conversión no reside en el desconocimiento de Cumplo como marca, sino en la dificultad del potencial inversionista para transformar interés en confianza. Quien visita la página de invierte.cumplo.com ya hizo algo: buscó, llegó, miró. El problema es que se va sin actuar. El objetivo, entonces, es diseñar una estrategia conversacional que reduzca esa fricción, eduque en el momento adecuado, resuelva objeciones concretas y conduzca al usuario hacia una acción tangible dentro del ecosistema de inversión.</w:t>
      </w:r>
    </w:p>
    <w:p>
      <w:r>
        <w:br w:type="page"/>
      </w:r>
    </w:p>
    <w:p>
      <w:pPr>
        <w:pStyle w:val="Heading1"/>
        <w:spacing w:after="200" w:before="360"/>
      </w:pPr>
      <w:r>
        <w:rPr>
          <w:rFonts w:ascii="Arial" w:cs="Arial" w:eastAsia="Arial" w:hAnsi="Arial"/>
          <w:b/>
          <w:bCs/>
          <w:color w:val="1F3864"/>
          <w:sz w:val="28"/>
          <w:szCs w:val="28"/>
        </w:rPr>
        <w:t xml:space="preserve">2. Diagnóstico y Tipo de Campaña Seleccionada</w:t>
      </w:r>
    </w:p>
    <w:p>
      <w:pPr>
        <w:pStyle w:val="Heading2"/>
        <w:spacing w:after="160" w:before="280"/>
      </w:pPr>
      <w:r>
        <w:rPr>
          <w:rFonts w:ascii="Arial" w:cs="Arial" w:eastAsia="Arial" w:hAnsi="Arial"/>
          <w:b/>
          <w:bCs/>
          <w:color w:val="2E5090"/>
          <w:sz w:val="24"/>
          <w:szCs w:val="24"/>
        </w:rPr>
        <w:t xml:space="preserve">2.1 Contexto de la marca y propuesta de valor para inversionistas</w:t>
      </w:r>
    </w:p>
    <w:p>
      <w:pPr>
        <w:spacing w:after="200" w:line="276"/>
        <w:jc w:val="both"/>
      </w:pPr>
      <w:r>
        <w:rPr>
          <w:rFonts w:ascii="Arial" w:cs="Arial" w:eastAsia="Arial" w:hAnsi="Arial"/>
          <w:color w:val="000000"/>
          <w:sz w:val="22"/>
          <w:szCs w:val="22"/>
        </w:rPr>
        <w:t xml:space="preserve">Cumplo se posiciona como la mayor plataforma de financiamiento colaborativo de América Latina, operando bajo los principios de una Empresa B y con presencia en Chile, Perú, México y Estados Unidos. Para el segmento inversionista, la propuesta de valor se articula en tres ejes: rentabilidad (tasas anuales que, según los ejemplos publicados en la plataforma, oscilan entre el 12,5% y el 21%); diversificación (posibilidad de invertir de manera atomizada a través de tokens o de manera selectiva mediante inversión directa); y propósito (el dinero del inversionista apoya el crecimiento de pymes reales) (Cumplo, 2025b).</w:t>
      </w:r>
    </w:p>
    <w:p>
      <w:pPr>
        <w:spacing w:after="200" w:line="276"/>
        <w:jc w:val="both"/>
      </w:pPr>
      <w:r>
        <w:rPr>
          <w:rFonts w:ascii="Arial" w:cs="Arial" w:eastAsia="Arial" w:hAnsi="Arial"/>
          <w:color w:val="000000"/>
          <w:sz w:val="22"/>
          <w:szCs w:val="22"/>
        </w:rPr>
        <w:t xml:space="preserve">La plataforma reconoce explícitamente que toda inversión conlleva riesgo, incluyendo la posibilidad de pérdida parcial o total del capital invertido en el caso de inversión directa, y que los tokens, aunque diversificados, también presentan volatilidad. Esta transparencia es a la vez una fortaleza de comunicación y un reto: si no se maneja bien, puede amplificar la percepción de riesgo y generar abandono del funnel.</w:t>
      </w:r>
    </w:p>
    <w:p>
      <w:pPr>
        <w:pStyle w:val="Heading2"/>
        <w:spacing w:after="160" w:before="280"/>
      </w:pPr>
      <w:r>
        <w:rPr>
          <w:rFonts w:ascii="Arial" w:cs="Arial" w:eastAsia="Arial" w:hAnsi="Arial"/>
          <w:b/>
          <w:bCs/>
          <w:color w:val="2E5090"/>
          <w:sz w:val="24"/>
          <w:szCs w:val="24"/>
        </w:rPr>
        <w:t xml:space="preserve">2.2 Problema de marketing y público objetivo</w:t>
      </w:r>
    </w:p>
    <w:p>
      <w:pPr>
        <w:spacing w:after="200" w:line="276"/>
        <w:jc w:val="both"/>
      </w:pPr>
      <w:r>
        <w:rPr>
          <w:rFonts w:ascii="Arial" w:cs="Arial" w:eastAsia="Arial" w:hAnsi="Arial"/>
          <w:color w:val="000000"/>
          <w:sz w:val="22"/>
          <w:szCs w:val="22"/>
        </w:rPr>
        <w:t xml:space="preserve">El problema central no es de visibilidad sino de conversión en el tramo medio-bajo del funnel. El potencial inversionista llega a la plataforma, encuentra la información, pero no completa el registro ni da el primer paso de inversión. Las causas probables —inferencia estratégica basada en la propuesta de valor y en las preguntas frecuentes publicadas por la propia empresa— incluyen: desconfianza respecto a la seguridad del capital; confusión entre los distintos productos disponibles; falta de claridad sobre el proceso de registro; y ausencia de acompañamiento conversacional en el momento de la duda.</w:t>
      </w:r>
    </w:p>
    <w:p>
      <w:pPr>
        <w:spacing w:after="200" w:line="276"/>
        <w:jc w:val="both"/>
      </w:pPr>
      <w:r>
        <w:rPr>
          <w:rFonts w:ascii="Arial" w:cs="Arial" w:eastAsia="Arial" w:hAnsi="Arial"/>
          <w:color w:val="000000"/>
          <w:sz w:val="22"/>
          <w:szCs w:val="22"/>
        </w:rPr>
        <w:t xml:space="preserve">El público objetivo de esta estrategia se define así: adultos entre 25 y 50 años, residentes en Chile, con ingresos medios a medios-altos, habituados al uso de plataformas digitales y con algún grado de familiaridad con conceptos financieros básicos. La segmentación en Meta Ads se diferencia por perfil: la campaña Token apunta a adultos de 25 a 45 años en todo Chile con interés en ahorro, fondos mutuos y finanzas personales; la campaña Directa se enfoca en adultos de 28 a 50 años en Santiago, Viña del Mar y Concepción con interés en inversión, bolsa y finanzas. Tienen ahorros inmovilizados o en fondos de bajo rendimiento, sienten interés por opciones alternativas al banco, pero tienen dudas específicas sobre riesgo, liquidez y confianza en la plataforma.</w:t>
      </w:r>
    </w:p>
    <w:p>
      <w:pPr>
        <w:pStyle w:val="Heading2"/>
        <w:spacing w:after="160" w:before="280"/>
      </w:pPr>
      <w:r>
        <w:rPr>
          <w:rFonts w:ascii="Arial" w:cs="Arial" w:eastAsia="Arial" w:hAnsi="Arial"/>
          <w:b/>
          <w:bCs/>
          <w:color w:val="2E5090"/>
          <w:sz w:val="24"/>
          <w:szCs w:val="24"/>
        </w:rPr>
        <w:t xml:space="preserve">2.3 Objetivos de marketing y tipo de campaña</w:t>
      </w:r>
    </w:p>
    <w:p>
      <w:pPr>
        <w:spacing w:after="200" w:line="276"/>
        <w:jc w:val="both"/>
      </w:pPr>
      <w:r>
        <w:rPr>
          <w:rFonts w:ascii="Arial" w:cs="Arial" w:eastAsia="Arial" w:hAnsi="Arial"/>
          <w:color w:val="000000"/>
          <w:sz w:val="22"/>
          <w:szCs w:val="22"/>
        </w:rPr>
        <w:t xml:space="preserve">El objetivo general de marketing es aumentar la tasa de conversión de visitantes a usuarios registrados en la plataforma de Cumplo Inversionistas, mediante una estrategia conversacional omnicanal que reduzca la fricción de decisión y eleve la confianza percibida en la marca.</w:t>
      </w:r>
    </w:p>
    <w:p>
      <w:pPr>
        <w:spacing w:after="200" w:line="276"/>
        <w:jc w:val="both"/>
      </w:pPr>
      <w:r>
        <w:rPr>
          <w:rFonts w:ascii="Arial" w:cs="Arial" w:eastAsia="Arial" w:hAnsi="Arial"/>
          <w:color w:val="000000"/>
          <w:sz w:val="22"/>
          <w:szCs w:val="22"/>
        </w:rPr>
        <w:t xml:space="preserve">Los objetivos específicos conversacionales son: (1) captar leads calificados a través de anuncios en redes sociales orientados a interés en inversión; (2) segmentar a los leads según perfil para personalizar los mensajes; (3) educar sobre los productos con contenido secuencial de bajo esfuerzo cognitivo; (4) resolver las objeciones más frecuentes mediante flujo automatizado con bifurcaciones; y (5) conducir al usuario al registro completo en la plataforma o a la primera exploración de oportunidades disponibles.</w:t>
      </w:r>
    </w:p>
    <w:p>
      <w:pPr>
        <w:spacing w:after="200" w:line="276"/>
        <w:jc w:val="both"/>
      </w:pPr>
      <w:r>
        <w:rPr>
          <w:rFonts w:ascii="Arial" w:cs="Arial" w:eastAsia="Arial" w:hAnsi="Arial"/>
          <w:color w:val="000000"/>
          <w:sz w:val="22"/>
          <w:szCs w:val="22"/>
        </w:rPr>
        <w:t xml:space="preserve">El tipo de campaña seleccionada es de conversión. Esta elección se fundamenta en que el público objetivo ya tiene interés —no hay necesidad de crear demanda desde cero— y lo que se requiere es facilitar la acción. La simulación de resultados del piloto de 30 días valida esta decisión: con un presupuesto total de $2.700.000 CLP se lograron 241 registros (tasa de registro del 21,10%, superando la meta interna del 15%) y 70 primeras inversiones efectivas, movilizando $20.760.000 CLP en capital.</w:t>
      </w:r>
    </w:p>
    <w:p>
      <w:pPr>
        <w:spacing w:after="200" w:line="276"/>
        <w:jc w:val="both"/>
      </w:pPr>
      <w:r>
        <w:rPr>
          <w:rFonts w:ascii="Arial" w:cs="Arial" w:eastAsia="Arial" w:hAnsi="Arial"/>
          <w:color w:val="000000"/>
          <w:sz w:val="22"/>
          <w:szCs w:val="22"/>
        </w:rPr>
        <w:t xml:space="preserve">Se contempla un componente educativo dentro del flujo de nutrición post-captura —no como campaña separada, sino como parte del journey conversacional— para acompañar la decisión de alto involucramiento. Esto es coherente con el modelo inbound: atraer con valor, convertir con conversación y cerrar con confianza.</w:t>
      </w:r>
    </w:p>
    <w:p>
      <w:r>
        <w:br w:type="page"/>
      </w:r>
    </w:p>
    <w:p>
      <w:pPr>
        <w:pStyle w:val="Heading1"/>
        <w:spacing w:after="200" w:before="360"/>
      </w:pPr>
      <w:r>
        <w:rPr>
          <w:rFonts w:ascii="Arial" w:cs="Arial" w:eastAsia="Arial" w:hAnsi="Arial"/>
          <w:b/>
          <w:bCs/>
          <w:color w:val="1F3864"/>
          <w:sz w:val="28"/>
          <w:szCs w:val="28"/>
        </w:rPr>
        <w:t xml:space="preserve">3. Configuración Técnica de la Campaña y Estructura de Automatización</w:t>
      </w:r>
    </w:p>
    <w:p>
      <w:pPr>
        <w:pStyle w:val="Heading2"/>
        <w:spacing w:after="160" w:before="280"/>
      </w:pPr>
      <w:r>
        <w:rPr>
          <w:rFonts w:ascii="Arial" w:cs="Arial" w:eastAsia="Arial" w:hAnsi="Arial"/>
          <w:b/>
          <w:bCs/>
          <w:color w:val="2E5090"/>
          <w:sz w:val="24"/>
          <w:szCs w:val="24"/>
        </w:rPr>
        <w:t xml:space="preserve">3.1 Canales seleccionados, roles y justificación</w:t>
      </w:r>
    </w:p>
    <w:p>
      <w:pPr>
        <w:spacing w:after="200" w:line="276"/>
        <w:jc w:val="both"/>
      </w:pPr>
      <w:r>
        <w:rPr>
          <w:rFonts w:ascii="Arial" w:cs="Arial" w:eastAsia="Arial" w:hAnsi="Arial"/>
          <w:color w:val="000000"/>
          <w:sz w:val="22"/>
          <w:szCs w:val="22"/>
        </w:rPr>
        <w:t xml:space="preserve">La estrategia opera sobre cuatro canales principales conectados mediante HubSpot como CRM y plataforma de automatización central. Cada canal cumple un rol definido dentro del journey y se activa de manera secuencial según el comportamiento del usuario.</w:t>
      </w:r>
    </w:p>
    <w:tbl>
      <w:tblPr>
        <w:tblW w:type="dxa" w:w="10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1400"/>
            <w:tcBorders>
              <w:top w:val="single" w:color="CCCCCC" w:sz="1"/>
              <w:left w:val="single" w:color="CCCCCC" w:sz="1"/>
              <w:bottom w:val="single" w:color="CCCCCC" w:sz="1"/>
              <w:right w:val="single" w:color="CCCCCC" w:sz="1"/>
            </w:tcBorders>
            <w:shd w:fill="D5E8F0" w:color="auto" w:val="clear"/>
            <w:vAlign w:val="center"/>
          </w:tcPr>
          <w:p>
            <w:pPr>
              <w:spacing w:after="40" w:before="40"/>
              <w:jc w:val="center"/>
            </w:pPr>
            <w:r>
              <w:rPr>
                <w:rFonts w:ascii="Arial" w:cs="Arial" w:eastAsia="Arial" w:hAnsi="Arial"/>
                <w:b/>
                <w:bCs/>
                <w:color w:val="000000"/>
                <w:sz w:val="20"/>
                <w:szCs w:val="20"/>
              </w:rPr>
              <w:t xml:space="preserve">Canal</w:t>
            </w:r>
          </w:p>
        </w:tc>
        <w:tc>
          <w:tcPr>
            <w:tcW w:type="dxa" w:w="1800"/>
            <w:tcBorders>
              <w:top w:val="single" w:color="CCCCCC" w:sz="1"/>
              <w:left w:val="single" w:color="CCCCCC" w:sz="1"/>
              <w:bottom w:val="single" w:color="CCCCCC" w:sz="1"/>
              <w:right w:val="single" w:color="CCCCCC" w:sz="1"/>
            </w:tcBorders>
            <w:shd w:fill="D5E8F0" w:color="auto" w:val="clear"/>
            <w:vAlign w:val="center"/>
          </w:tcPr>
          <w:p>
            <w:pPr>
              <w:spacing w:after="40" w:before="40"/>
              <w:jc w:val="center"/>
            </w:pPr>
            <w:r>
              <w:rPr>
                <w:rFonts w:ascii="Arial" w:cs="Arial" w:eastAsia="Arial" w:hAnsi="Arial"/>
                <w:b/>
                <w:bCs/>
                <w:color w:val="000000"/>
                <w:sz w:val="20"/>
                <w:szCs w:val="20"/>
              </w:rPr>
              <w:t xml:space="preserve">Rol</w:t>
            </w:r>
          </w:p>
        </w:tc>
        <w:tc>
          <w:tcPr>
            <w:tcW w:type="dxa" w:w="7300"/>
            <w:tcBorders>
              <w:top w:val="single" w:color="CCCCCC" w:sz="1"/>
              <w:left w:val="single" w:color="CCCCCC" w:sz="1"/>
              <w:bottom w:val="single" w:color="CCCCCC" w:sz="1"/>
              <w:right w:val="single" w:color="CCCCCC" w:sz="1"/>
            </w:tcBorders>
            <w:shd w:fill="D5E8F0" w:color="auto" w:val="clear"/>
            <w:vAlign w:val="center"/>
          </w:tcPr>
          <w:p>
            <w:pPr>
              <w:spacing w:after="40" w:before="40"/>
              <w:jc w:val="center"/>
            </w:pPr>
            <w:r>
              <w:rPr>
                <w:rFonts w:ascii="Arial" w:cs="Arial" w:eastAsia="Arial" w:hAnsi="Arial"/>
                <w:b/>
                <w:bCs/>
                <w:color w:val="000000"/>
                <w:sz w:val="20"/>
                <w:szCs w:val="20"/>
              </w:rPr>
              <w:t xml:space="preserve">Detalle</w:t>
            </w:r>
          </w:p>
        </w:tc>
      </w:tr>
      <w:tr>
        <w:tc>
          <w:tcPr>
            <w:tcW w:type="dxa" w:w="14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Meta Ads</w:t>
            </w:r>
          </w:p>
        </w:tc>
        <w:tc>
          <w:tcPr>
            <w:tcW w:type="dxa" w:w="18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Punto de entrada del funnel</w:t>
            </w:r>
          </w:p>
        </w:tc>
        <w:tc>
          <w:tcPr>
            <w:tcW w:type="dxa" w:w="73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Dos campañas paralelas: CUMPLO_INV_TOKEN_Q1 (perfil conservador, CBO $40.000/día, Feed + Stories, edad 25–45, Chile) y CUMPLO_INV_DIRECTA_Q1 (perfil sofisticado, CBO $50.000/día, Feed + Reels, edad 28–50, Santiago/Viña/Concepción). Presupuesto total: $2.700.000 CLP (30 días). Objetivo: conversión. CTA: «Más información» → Landing Page.</w:t>
            </w:r>
          </w:p>
        </w:tc>
      </w:tr>
      <w:tr>
        <w:tc>
          <w:tcPr>
            <w:tcW w:type="dxa" w:w="14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Landing page</w:t>
            </w:r>
          </w:p>
        </w:tc>
        <w:tc>
          <w:tcPr>
            <w:tcW w:type="dxa" w:w="18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Captura de lead</w:t>
            </w:r>
          </w:p>
        </w:tc>
        <w:tc>
          <w:tcPr>
            <w:tcW w:type="dxa" w:w="73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Formulario reducido: nombre + correo + teléfono + tipo de instrumento. Monto capturado en chatbot. Trust badges above the fold: $3.300M, 0,45%, +7.200 pymes. Un solo CTA.</w:t>
            </w:r>
          </w:p>
        </w:tc>
      </w:tr>
      <w:tr>
        <w:tc>
          <w:tcPr>
            <w:tcW w:type="dxa" w:w="14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WhatsApp + ManyChat</w:t>
            </w:r>
          </w:p>
        </w:tc>
        <w:tc>
          <w:tcPr>
            <w:tcW w:type="dxa" w:w="18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Canal conversacional</w:t>
            </w:r>
          </w:p>
        </w:tc>
        <w:tc>
          <w:tcPr>
            <w:tcW w:type="dxa" w:w="73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Activado desde landing de gracias. Flujo de 7 pasos con segmentación, bifurcación por perfil, módulo de objeciones y CTA final. Sincroniza tags con HubSpot.</w:t>
            </w:r>
          </w:p>
        </w:tc>
      </w:tr>
      <w:tr>
        <w:tc>
          <w:tcPr>
            <w:tcW w:type="dxa" w:w="14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Email — HubSpot</w:t>
            </w:r>
          </w:p>
        </w:tc>
        <w:tc>
          <w:tcPr>
            <w:tcW w:type="dxa" w:w="18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Nutrición progresiva</w:t>
            </w:r>
          </w:p>
        </w:tc>
        <w:tc>
          <w:tcPr>
            <w:tcW w:type="dxa" w:w="73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Secuencia D0 (bienvenida), D2 (producto por perfil), D5 (prueba social + CTA). Reactivación si no hay apertura al día 3.</w:t>
            </w:r>
          </w:p>
        </w:tc>
      </w:tr>
    </w:tbl>
    <w:p>
      <w:pPr>
        <w:spacing w:after="100"/>
      </w:pPr>
    </w:p>
    <w:p>
      <w:pPr>
        <w:spacing w:after="200" w:line="276"/>
        <w:jc w:val="both"/>
      </w:pPr>
      <w:r>
        <w:rPr>
          <w:rFonts w:ascii="Arial" w:cs="Arial" w:eastAsia="Arial" w:hAnsi="Arial"/>
          <w:color w:val="000000"/>
          <w:sz w:val="22"/>
          <w:szCs w:val="22"/>
        </w:rPr>
        <w:t xml:space="preserve">La distribución presupuestaria se asigna entre dos campañas diferenciadas en Meta Ads. Los resultados simulados del piloto de 30 días muestran eficiencias distintas por campaña:</w:t>
      </w:r>
    </w:p>
    <w:tbl>
      <w:tblPr>
        <w:tblW w:type="dxa" w:w="10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gridCol w:w="100"/>
      </w:tblGrid>
      <w:tr>
        <w:trPr>
          <w:tblHeader/>
        </w:trPr>
        <w:tc>
          <w:tcPr>
            <w:tcW w:type="dxa" w:w="1800"/>
            <w:tcBorders>
              <w:top w:val="single" w:color="CCCCCC" w:sz="1"/>
              <w:left w:val="single" w:color="CCCCCC" w:sz="1"/>
              <w:bottom w:val="single" w:color="CCCCCC" w:sz="1"/>
              <w:right w:val="single" w:color="CCCCCC" w:sz="1"/>
            </w:tcBorders>
            <w:shd w:fill="D5E8F0" w:color="auto" w:val="clear"/>
            <w:vAlign w:val="center"/>
          </w:tcPr>
          <w:p>
            <w:pPr>
              <w:spacing w:after="40" w:before="40"/>
              <w:jc w:val="center"/>
            </w:pPr>
            <w:r>
              <w:rPr>
                <w:rFonts w:ascii="Arial" w:cs="Arial" w:eastAsia="Arial" w:hAnsi="Arial"/>
                <w:b/>
                <w:bCs/>
                <w:color w:val="000000"/>
                <w:sz w:val="20"/>
                <w:szCs w:val="20"/>
              </w:rPr>
              <w:t xml:space="preserve">Campaña</w:t>
            </w:r>
          </w:p>
        </w:tc>
        <w:tc>
          <w:tcPr>
            <w:tcW w:type="dxa" w:w="1200"/>
            <w:tcBorders>
              <w:top w:val="single" w:color="CCCCCC" w:sz="1"/>
              <w:left w:val="single" w:color="CCCCCC" w:sz="1"/>
              <w:bottom w:val="single" w:color="CCCCCC" w:sz="1"/>
              <w:right w:val="single" w:color="CCCCCC" w:sz="1"/>
            </w:tcBorders>
            <w:shd w:fill="D5E8F0" w:color="auto" w:val="clear"/>
            <w:vAlign w:val="center"/>
          </w:tcPr>
          <w:p>
            <w:pPr>
              <w:spacing w:after="40" w:before="40"/>
              <w:jc w:val="center"/>
            </w:pPr>
            <w:r>
              <w:rPr>
                <w:rFonts w:ascii="Arial" w:cs="Arial" w:eastAsia="Arial" w:hAnsi="Arial"/>
                <w:b/>
                <w:bCs/>
                <w:color w:val="000000"/>
                <w:sz w:val="20"/>
                <w:szCs w:val="20"/>
              </w:rPr>
              <w:t xml:space="preserve">Inversión CLP</w:t>
            </w:r>
          </w:p>
        </w:tc>
        <w:tc>
          <w:tcPr>
            <w:tcW w:type="dxa" w:w="1200"/>
            <w:tcBorders>
              <w:top w:val="single" w:color="CCCCCC" w:sz="1"/>
              <w:left w:val="single" w:color="CCCCCC" w:sz="1"/>
              <w:bottom w:val="single" w:color="CCCCCC" w:sz="1"/>
              <w:right w:val="single" w:color="CCCCCC" w:sz="1"/>
            </w:tcBorders>
            <w:shd w:fill="D5E8F0" w:color="auto" w:val="clear"/>
            <w:vAlign w:val="center"/>
          </w:tcPr>
          <w:p>
            <w:pPr>
              <w:spacing w:after="40" w:before="40"/>
              <w:jc w:val="center"/>
            </w:pPr>
            <w:r>
              <w:rPr>
                <w:rFonts w:ascii="Arial" w:cs="Arial" w:eastAsia="Arial" w:hAnsi="Arial"/>
                <w:b/>
                <w:bCs/>
                <w:color w:val="000000"/>
                <w:sz w:val="20"/>
                <w:szCs w:val="20"/>
              </w:rPr>
              <w:t xml:space="preserve">Impresiones</w:t>
            </w:r>
          </w:p>
        </w:tc>
        <w:tc>
          <w:tcPr>
            <w:tcW w:type="dxa" w:w="900"/>
            <w:tcBorders>
              <w:top w:val="single" w:color="CCCCCC" w:sz="1"/>
              <w:left w:val="single" w:color="CCCCCC" w:sz="1"/>
              <w:bottom w:val="single" w:color="CCCCCC" w:sz="1"/>
              <w:right w:val="single" w:color="CCCCCC" w:sz="1"/>
            </w:tcBorders>
            <w:shd w:fill="D5E8F0" w:color="auto" w:val="clear"/>
            <w:vAlign w:val="center"/>
          </w:tcPr>
          <w:p>
            <w:pPr>
              <w:spacing w:after="40" w:before="40"/>
              <w:jc w:val="center"/>
            </w:pPr>
            <w:r>
              <w:rPr>
                <w:rFonts w:ascii="Arial" w:cs="Arial" w:eastAsia="Arial" w:hAnsi="Arial"/>
                <w:b/>
                <w:bCs/>
                <w:color w:val="000000"/>
                <w:sz w:val="20"/>
                <w:szCs w:val="20"/>
              </w:rPr>
              <w:t xml:space="preserve">Clics</w:t>
            </w:r>
          </w:p>
        </w:tc>
        <w:tc>
          <w:tcPr>
            <w:tcW w:type="dxa" w:w="800"/>
            <w:tcBorders>
              <w:top w:val="single" w:color="CCCCCC" w:sz="1"/>
              <w:left w:val="single" w:color="CCCCCC" w:sz="1"/>
              <w:bottom w:val="single" w:color="CCCCCC" w:sz="1"/>
              <w:right w:val="single" w:color="CCCCCC" w:sz="1"/>
            </w:tcBorders>
            <w:shd w:fill="D5E8F0" w:color="auto" w:val="clear"/>
            <w:vAlign w:val="center"/>
          </w:tcPr>
          <w:p>
            <w:pPr>
              <w:spacing w:after="40" w:before="40"/>
              <w:jc w:val="center"/>
            </w:pPr>
            <w:r>
              <w:rPr>
                <w:rFonts w:ascii="Arial" w:cs="Arial" w:eastAsia="Arial" w:hAnsi="Arial"/>
                <w:b/>
                <w:bCs/>
                <w:color w:val="000000"/>
                <w:sz w:val="20"/>
                <w:szCs w:val="20"/>
              </w:rPr>
              <w:t xml:space="preserve">CTR</w:t>
            </w:r>
          </w:p>
        </w:tc>
        <w:tc>
          <w:tcPr>
            <w:tcW w:type="dxa" w:w="800"/>
            <w:tcBorders>
              <w:top w:val="single" w:color="CCCCCC" w:sz="1"/>
              <w:left w:val="single" w:color="CCCCCC" w:sz="1"/>
              <w:bottom w:val="single" w:color="CCCCCC" w:sz="1"/>
              <w:right w:val="single" w:color="CCCCCC" w:sz="1"/>
            </w:tcBorders>
            <w:shd w:fill="D5E8F0" w:color="auto" w:val="clear"/>
            <w:vAlign w:val="center"/>
          </w:tcPr>
          <w:p>
            <w:pPr>
              <w:spacing w:after="40" w:before="40"/>
              <w:jc w:val="center"/>
            </w:pPr>
            <w:r>
              <w:rPr>
                <w:rFonts w:ascii="Arial" w:cs="Arial" w:eastAsia="Arial" w:hAnsi="Arial"/>
                <w:b/>
                <w:bCs/>
                <w:color w:val="000000"/>
                <w:sz w:val="20"/>
                <w:szCs w:val="20"/>
              </w:rPr>
              <w:t xml:space="preserve">Leads</w:t>
            </w:r>
          </w:p>
        </w:tc>
        <w:tc>
          <w:tcPr>
            <w:tcW w:type="dxa" w:w="900"/>
            <w:tcBorders>
              <w:top w:val="single" w:color="CCCCCC" w:sz="1"/>
              <w:left w:val="single" w:color="CCCCCC" w:sz="1"/>
              <w:bottom w:val="single" w:color="CCCCCC" w:sz="1"/>
              <w:right w:val="single" w:color="CCCCCC" w:sz="1"/>
            </w:tcBorders>
            <w:shd w:fill="D5E8F0" w:color="auto" w:val="clear"/>
            <w:vAlign w:val="center"/>
          </w:tcPr>
          <w:p>
            <w:pPr>
              <w:spacing w:after="40" w:before="40"/>
              <w:jc w:val="center"/>
            </w:pPr>
            <w:r>
              <w:rPr>
                <w:rFonts w:ascii="Arial" w:cs="Arial" w:eastAsia="Arial" w:hAnsi="Arial"/>
                <w:b/>
                <w:bCs/>
                <w:color w:val="000000"/>
                <w:sz w:val="20"/>
                <w:szCs w:val="20"/>
              </w:rPr>
              <w:t xml:space="preserve">CPL</w:t>
            </w:r>
          </w:p>
        </w:tc>
        <w:tc>
          <w:tcPr>
            <w:tcW w:type="dxa" w:w="1100"/>
            <w:tcBorders>
              <w:top w:val="single" w:color="CCCCCC" w:sz="1"/>
              <w:left w:val="single" w:color="CCCCCC" w:sz="1"/>
              <w:bottom w:val="single" w:color="CCCCCC" w:sz="1"/>
              <w:right w:val="single" w:color="CCCCCC" w:sz="1"/>
            </w:tcBorders>
            <w:shd w:fill="D5E8F0" w:color="auto" w:val="clear"/>
            <w:vAlign w:val="center"/>
          </w:tcPr>
          <w:p>
            <w:pPr>
              <w:spacing w:after="40" w:before="40"/>
              <w:jc w:val="center"/>
            </w:pPr>
            <w:r>
              <w:rPr>
                <w:rFonts w:ascii="Arial" w:cs="Arial" w:eastAsia="Arial" w:hAnsi="Arial"/>
                <w:b/>
                <w:bCs/>
                <w:color w:val="000000"/>
                <w:sz w:val="20"/>
                <w:szCs w:val="20"/>
              </w:rPr>
              <w:t xml:space="preserve">Registros</w:t>
            </w:r>
          </w:p>
        </w:tc>
        <w:tc>
          <w:tcPr>
            <w:tcW w:type="dxa" w:w="1300"/>
            <w:tcBorders>
              <w:top w:val="single" w:color="CCCCCC" w:sz="1"/>
              <w:left w:val="single" w:color="CCCCCC" w:sz="1"/>
              <w:bottom w:val="single" w:color="CCCCCC" w:sz="1"/>
              <w:right w:val="single" w:color="CCCCCC" w:sz="1"/>
            </w:tcBorders>
            <w:shd w:fill="D5E8F0" w:color="auto" w:val="clear"/>
            <w:vAlign w:val="center"/>
          </w:tcPr>
          <w:p>
            <w:pPr>
              <w:spacing w:after="40" w:before="40"/>
              <w:jc w:val="center"/>
            </w:pPr>
            <w:r>
              <w:rPr>
                <w:rFonts w:ascii="Arial" w:cs="Arial" w:eastAsia="Arial" w:hAnsi="Arial"/>
                <w:b/>
                <w:bCs/>
                <w:color w:val="000000"/>
                <w:sz w:val="20"/>
                <w:szCs w:val="20"/>
              </w:rPr>
              <w:t xml:space="preserve">1ras inversiones</w:t>
            </w:r>
          </w:p>
        </w:tc>
      </w:tr>
      <w:tr>
        <w:tc>
          <w:tcPr>
            <w:tcW w:type="dxa" w:w="18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CUMPLO_INV_TOKEN_Q1</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$1.200.000</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97.135</w:t>
            </w:r>
          </w:p>
        </w:tc>
        <w:tc>
          <w:tcPr>
            <w:tcW w:type="dxa" w:w="9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1.797</w:t>
            </w:r>
          </w:p>
        </w:tc>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1,85%</w:t>
            </w:r>
          </w:p>
        </w:tc>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678</w:t>
            </w:r>
          </w:p>
        </w:tc>
        <w:tc>
          <w:tcPr>
            <w:tcW w:type="dxa" w:w="9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$1.770</w:t>
            </w:r>
          </w:p>
        </w:tc>
        <w:tc>
          <w:tcPr>
            <w:tcW w:type="dxa" w:w="11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140</w:t>
            </w:r>
          </w:p>
        </w:tc>
        <w:tc>
          <w:tcPr>
            <w:tcW w:type="dxa" w:w="13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36</w:t>
            </w:r>
          </w:p>
        </w:tc>
      </w:tr>
      <w:tr>
        <w:tc>
          <w:tcPr>
            <w:tcW w:type="dxa" w:w="18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CUMPLO_INV_DIRECTA_Q1</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$1.500.000</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90.000</w:t>
            </w:r>
          </w:p>
        </w:tc>
        <w:tc>
          <w:tcPr>
            <w:tcW w:type="dxa" w:w="9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1.055</w:t>
            </w:r>
          </w:p>
        </w:tc>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1,17%</w:t>
            </w:r>
          </w:p>
        </w:tc>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464</w:t>
            </w:r>
          </w:p>
        </w:tc>
        <w:tc>
          <w:tcPr>
            <w:tcW w:type="dxa" w:w="9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$3.233</w:t>
            </w:r>
          </w:p>
        </w:tc>
        <w:tc>
          <w:tcPr>
            <w:tcW w:type="dxa" w:w="11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101</w:t>
            </w:r>
          </w:p>
        </w:tc>
        <w:tc>
          <w:tcPr>
            <w:tcW w:type="dxa" w:w="13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34</w:t>
            </w:r>
          </w:p>
        </w:tc>
      </w:tr>
      <w:tr>
        <w:tc>
          <w:tcPr>
            <w:tcW w:type="dxa" w:w="18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D35400"/>
                <w:sz w:val="18"/>
                <w:szCs w:val="18"/>
              </w:rPr>
              <w:t xml:space="preserve">Total</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D35400"/>
                <w:sz w:val="18"/>
                <w:szCs w:val="18"/>
              </w:rPr>
              <w:t xml:space="preserve">$2.700.000</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D35400"/>
                <w:sz w:val="18"/>
                <w:szCs w:val="18"/>
              </w:rPr>
              <w:t xml:space="preserve">187.135</w:t>
            </w:r>
          </w:p>
        </w:tc>
        <w:tc>
          <w:tcPr>
            <w:tcW w:type="dxa" w:w="9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D35400"/>
                <w:sz w:val="18"/>
                <w:szCs w:val="18"/>
              </w:rPr>
              <w:t xml:space="preserve">2.852</w:t>
            </w:r>
          </w:p>
        </w:tc>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D35400"/>
                <w:sz w:val="18"/>
                <w:szCs w:val="18"/>
              </w:rPr>
              <w:t xml:space="preserve">1,52%</w:t>
            </w:r>
          </w:p>
        </w:tc>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D35400"/>
                <w:sz w:val="18"/>
                <w:szCs w:val="18"/>
              </w:rPr>
              <w:t xml:space="preserve">1.142</w:t>
            </w:r>
          </w:p>
        </w:tc>
        <w:tc>
          <w:tcPr>
            <w:tcW w:type="dxa" w:w="9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D35400"/>
                <w:sz w:val="18"/>
                <w:szCs w:val="18"/>
              </w:rPr>
              <w:t xml:space="preserve">$2.364</w:t>
            </w:r>
          </w:p>
        </w:tc>
        <w:tc>
          <w:tcPr>
            <w:tcW w:type="dxa" w:w="11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D35400"/>
                <w:sz w:val="18"/>
                <w:szCs w:val="18"/>
              </w:rPr>
              <w:t xml:space="preserve">241</w:t>
            </w:r>
          </w:p>
        </w:tc>
        <w:tc>
          <w:tcPr>
            <w:tcW w:type="dxa" w:w="13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D35400"/>
                <w:sz w:val="18"/>
                <w:szCs w:val="18"/>
              </w:rPr>
              <w:t xml:space="preserve">70</w:t>
            </w:r>
          </w:p>
        </w:tc>
      </w:tr>
    </w:tbl>
    <w:p>
      <w:pPr>
        <w:spacing w:after="100"/>
      </w:pPr>
    </w:p>
    <w:p>
      <w:pPr>
        <w:pStyle w:val="Heading2"/>
        <w:spacing w:after="160" w:before="280"/>
      </w:pPr>
      <w:r>
        <w:rPr>
          <w:rFonts w:ascii="Arial" w:cs="Arial" w:eastAsia="Arial" w:hAnsi="Arial"/>
          <w:b/>
          <w:bCs/>
          <w:color w:val="2E5090"/>
          <w:sz w:val="24"/>
          <w:szCs w:val="24"/>
        </w:rPr>
        <w:t xml:space="preserve">3.2 HubSpot: lógica técnica y segmentación</w:t>
      </w:r>
    </w:p>
    <w:p>
      <w:pPr>
        <w:spacing w:after="200" w:line="276"/>
        <w:jc w:val="both"/>
      </w:pPr>
      <w:r>
        <w:rPr>
          <w:rFonts w:ascii="Arial" w:cs="Arial" w:eastAsia="Arial" w:hAnsi="Arial"/>
          <w:color w:val="000000"/>
          <w:sz w:val="22"/>
          <w:szCs w:val="22"/>
        </w:rPr>
        <w:t xml:space="preserve">Todos los canales convergen en HubSpot como fuente única de verdad. El CRM registra el origen del lead, las respuestas del flujo conversacional y el estado de avance, permitiendo personalizar los correos y activar retargeting. A continuación se detallan los tags de segmentación utilizados.</w:t>
      </w:r>
    </w:p>
    <w:tbl>
      <w:tblPr>
        <w:tblW w:type="dxa" w:w="10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500"/>
            <w:tcBorders>
              <w:top w:val="single" w:color="CCCCCC" w:sz="1"/>
              <w:left w:val="single" w:color="CCCCCC" w:sz="1"/>
              <w:bottom w:val="single" w:color="CCCCCC" w:sz="1"/>
              <w:right w:val="single" w:color="CCCCCC" w:sz="1"/>
            </w:tcBorders>
            <w:shd w:fill="D5E8F0" w:color="auto" w:val="clear"/>
            <w:vAlign w:val="center"/>
          </w:tcPr>
          <w:p>
            <w:pPr>
              <w:spacing w:after="40" w:before="40"/>
              <w:jc w:val="center"/>
            </w:pPr>
            <w:r>
              <w:rPr>
                <w:rFonts w:ascii="Arial" w:cs="Arial" w:eastAsia="Arial" w:hAnsi="Arial"/>
                <w:b/>
                <w:bCs/>
                <w:color w:val="000000"/>
                <w:sz w:val="20"/>
                <w:szCs w:val="20"/>
              </w:rPr>
              <w:t xml:space="preserve">Tag</w:t>
            </w:r>
          </w:p>
        </w:tc>
        <w:tc>
          <w:tcPr>
            <w:tcW w:type="dxa" w:w="8000"/>
            <w:tcBorders>
              <w:top w:val="single" w:color="CCCCCC" w:sz="1"/>
              <w:left w:val="single" w:color="CCCCCC" w:sz="1"/>
              <w:bottom w:val="single" w:color="CCCCCC" w:sz="1"/>
              <w:right w:val="single" w:color="CCCCCC" w:sz="1"/>
            </w:tcBorders>
            <w:shd w:fill="D5E8F0" w:color="auto" w:val="clear"/>
            <w:vAlign w:val="center"/>
          </w:tcPr>
          <w:p>
            <w:pPr>
              <w:spacing w:after="40" w:before="40"/>
              <w:jc w:val="center"/>
            </w:pPr>
            <w:r>
              <w:rPr>
                <w:rFonts w:ascii="Arial" w:cs="Arial" w:eastAsia="Arial" w:hAnsi="Arial"/>
                <w:b/>
                <w:bCs/>
                <w:color w:val="000000"/>
                <w:sz w:val="20"/>
                <w:szCs w:val="20"/>
              </w:rPr>
              <w:t xml:space="preserve">Criterio de asignación</w:t>
            </w:r>
          </w:p>
        </w:tc>
      </w:tr>
      <w:tr>
        <w:tc>
          <w:tcPr>
            <w:tcW w:type="dxa" w:w="25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lead_ads_token</w:t>
            </w:r>
          </w:p>
        </w:tc>
        <w:tc>
          <w:tcPr>
            <w:tcW w:type="dxa" w:w="80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Lead que llegó desde anuncio orientado a tokens</w:t>
            </w:r>
          </w:p>
        </w:tc>
      </w:tr>
      <w:tr>
        <w:tc>
          <w:tcPr>
            <w:tcW w:type="dxa" w:w="25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lead_ads_directa</w:t>
            </w:r>
          </w:p>
        </w:tc>
        <w:tc>
          <w:tcPr>
            <w:tcW w:type="dxa" w:w="80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Lead que llegó desde anuncio orientado a inversión directa</w:t>
            </w:r>
          </w:p>
        </w:tc>
      </w:tr>
      <w:tr>
        <w:tc>
          <w:tcPr>
            <w:tcW w:type="dxa" w:w="25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perfil_conservador</w:t>
            </w:r>
          </w:p>
        </w:tc>
        <w:tc>
          <w:tcPr>
            <w:tcW w:type="dxa" w:w="80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Eligió Opción A en la pregunta de segmentación del chatbot</w:t>
            </w:r>
          </w:p>
        </w:tc>
      </w:tr>
      <w:tr>
        <w:tc>
          <w:tcPr>
            <w:tcW w:type="dxa" w:w="25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perfil_sofisticado</w:t>
            </w:r>
          </w:p>
        </w:tc>
        <w:tc>
          <w:tcPr>
            <w:tcW w:type="dxa" w:w="80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Eligió Opción B (inversión directa) en el chatbot</w:t>
            </w:r>
          </w:p>
        </w:tc>
      </w:tr>
      <w:tr>
        <w:tc>
          <w:tcPr>
            <w:tcW w:type="dxa" w:w="25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en_exploracion</w:t>
            </w:r>
          </w:p>
        </w:tc>
        <w:tc>
          <w:tcPr>
            <w:tcW w:type="dxa" w:w="80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Eligió Opción C (aún no tiene claro su perfil)</w:t>
            </w:r>
          </w:p>
        </w:tc>
      </w:tr>
      <w:tr>
        <w:tc>
          <w:tcPr>
            <w:tcW w:type="dxa" w:w="25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lead_calificado</w:t>
            </w:r>
          </w:p>
        </w:tc>
        <w:tc>
          <w:tcPr>
            <w:tcW w:type="dxa" w:w="80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Completó el flujo y llegó al CTA principal</w:t>
            </w:r>
          </w:p>
        </w:tc>
      </w:tr>
      <w:tr>
        <w:tc>
          <w:tcPr>
            <w:tcW w:type="dxa" w:w="25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registrado</w:t>
            </w:r>
          </w:p>
        </w:tc>
        <w:tc>
          <w:tcPr>
            <w:tcW w:type="dxa" w:w="80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Completó el registro en la plataforma</w:t>
            </w:r>
          </w:p>
        </w:tc>
      </w:tr>
      <w:tr>
        <w:tc>
          <w:tcPr>
            <w:tcW w:type="dxa" w:w="25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inversor_activo</w:t>
            </w:r>
          </w:p>
        </w:tc>
        <w:tc>
          <w:tcPr>
            <w:tcW w:type="dxa" w:w="80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Realizó al menos una inversión</w:t>
            </w:r>
          </w:p>
        </w:tc>
      </w:tr>
    </w:tbl>
    <w:p>
      <w:pPr>
        <w:spacing w:after="100"/>
      </w:pPr>
    </w:p>
    <w:p>
      <w:pPr>
        <w:spacing w:after="200" w:line="276"/>
        <w:jc w:val="both"/>
      </w:pPr>
      <w:r>
        <w:rPr>
          <w:rFonts w:ascii="Arial" w:cs="Arial" w:eastAsia="Arial" w:hAnsi="Arial"/>
          <w:color w:val="000000"/>
          <w:sz w:val="22"/>
          <w:szCs w:val="22"/>
        </w:rPr>
        <w:t xml:space="preserve">Además de los tags, HubSpot implementa un sistema de lead scoring que asigna puntos según las acciones del usuario dentro del funnel. Este puntaje permite priorizar el seguimiento comercial y automatizar acciones según el nivel de compromiso del lead.</w:t>
      </w:r>
    </w:p>
    <w:tbl>
      <w:tblPr>
        <w:tblW w:type="dxa" w:w="10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6000"/>
            <w:tcBorders>
              <w:top w:val="single" w:color="CCCCCC" w:sz="1"/>
              <w:left w:val="single" w:color="CCCCCC" w:sz="1"/>
              <w:bottom w:val="single" w:color="CCCCCC" w:sz="1"/>
              <w:right w:val="single" w:color="CCCCCC" w:sz="1"/>
            </w:tcBorders>
            <w:shd w:fill="D5E8F0" w:color="auto" w:val="clear"/>
            <w:vAlign w:val="center"/>
          </w:tcPr>
          <w:p>
            <w:pPr>
              <w:spacing w:after="40" w:before="40"/>
              <w:jc w:val="center"/>
            </w:pPr>
            <w:r>
              <w:rPr>
                <w:rFonts w:ascii="Arial" w:cs="Arial" w:eastAsia="Arial" w:hAnsi="Arial"/>
                <w:b/>
                <w:bCs/>
                <w:color w:val="000000"/>
                <w:sz w:val="20"/>
                <w:szCs w:val="20"/>
              </w:rPr>
              <w:t xml:space="preserve">Acción del usuario</w:t>
            </w:r>
          </w:p>
        </w:tc>
        <w:tc>
          <w:tcPr>
            <w:tcW w:type="dxa" w:w="4500"/>
            <w:tcBorders>
              <w:top w:val="single" w:color="CCCCCC" w:sz="1"/>
              <w:left w:val="single" w:color="CCCCCC" w:sz="1"/>
              <w:bottom w:val="single" w:color="CCCCCC" w:sz="1"/>
              <w:right w:val="single" w:color="CCCCCC" w:sz="1"/>
            </w:tcBorders>
            <w:shd w:fill="D5E8F0" w:color="auto" w:val="clear"/>
            <w:vAlign w:val="center"/>
          </w:tcPr>
          <w:p>
            <w:pPr>
              <w:spacing w:after="40" w:before="40"/>
              <w:jc w:val="center"/>
            </w:pPr>
            <w:r>
              <w:rPr>
                <w:rFonts w:ascii="Arial" w:cs="Arial" w:eastAsia="Arial" w:hAnsi="Arial"/>
                <w:b/>
                <w:bCs/>
                <w:color w:val="000000"/>
                <w:sz w:val="20"/>
                <w:szCs w:val="20"/>
              </w:rPr>
              <w:t xml:space="preserve">Puntos asignados</w:t>
            </w:r>
          </w:p>
        </w:tc>
      </w:tr>
      <w:tr>
        <w:tc>
          <w:tcPr>
            <w:tcW w:type="dxa" w:w="60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Abre un email</w:t>
            </w:r>
          </w:p>
        </w:tc>
        <w:tc>
          <w:tcPr>
            <w:tcW w:type="dxa" w:w="45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+5 pts</w:t>
            </w:r>
          </w:p>
        </w:tc>
      </w:tr>
      <w:tr>
        <w:tc>
          <w:tcPr>
            <w:tcW w:type="dxa" w:w="60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Clic en enlace del email</w:t>
            </w:r>
          </w:p>
        </w:tc>
        <w:tc>
          <w:tcPr>
            <w:tcW w:type="dxa" w:w="45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+10 pts</w:t>
            </w:r>
          </w:p>
        </w:tc>
      </w:tr>
      <w:tr>
        <w:tc>
          <w:tcPr>
            <w:tcW w:type="dxa" w:w="60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Completa el chatbot de ManyChat</w:t>
            </w:r>
          </w:p>
        </w:tc>
        <w:tc>
          <w:tcPr>
            <w:tcW w:type="dxa" w:w="45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+15 pts</w:t>
            </w:r>
          </w:p>
        </w:tc>
      </w:tr>
      <w:tr>
        <w:tc>
          <w:tcPr>
            <w:tcW w:type="dxa" w:w="60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Visita página de precios o tokens</w:t>
            </w:r>
          </w:p>
        </w:tc>
        <w:tc>
          <w:tcPr>
            <w:tcW w:type="dxa" w:w="45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+25 pts</w:t>
            </w:r>
          </w:p>
        </w:tc>
      </w:tr>
      <w:tr>
        <w:tc>
          <w:tcPr>
            <w:tcW w:type="dxa" w:w="60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Activa módulo de objeciones</w:t>
            </w:r>
          </w:p>
        </w:tc>
        <w:tc>
          <w:tcPr>
            <w:tcW w:type="dxa" w:w="45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+10 pts</w:t>
            </w:r>
          </w:p>
        </w:tc>
      </w:tr>
    </w:tbl>
    <w:p>
      <w:pPr>
        <w:spacing w:after="100"/>
      </w:pPr>
    </w:p>
    <w:p>
      <w:pPr>
        <w:spacing w:after="200" w:line="276"/>
        <w:jc w:val="both"/>
      </w:pPr>
      <w:r>
        <w:rPr>
          <w:rFonts w:ascii="Arial" w:cs="Arial" w:eastAsia="Arial" w:hAnsi="Arial"/>
          <w:color w:val="000000"/>
          <w:sz w:val="22"/>
          <w:szCs w:val="22"/>
        </w:rPr>
        <w:t xml:space="preserve">Los umbrales de acción automática son: si el lead alcanza 25 puntos o más, se activa una secuencia de conversión acelerada; si al día 3 el lead tiene menos de 10 puntos, se pausa la secuencia y se programa un re-engagement en 14 días; si el lead realiza una compra, se elimina de la secuencia de nutrición y se inicia el flujo de onboarding.</w:t>
      </w:r>
    </w:p>
    <w:p>
      <w:pPr>
        <w:spacing w:after="200" w:line="276"/>
        <w:jc w:val="both"/>
      </w:pPr>
      <w:r>
        <w:rPr>
          <w:rFonts w:ascii="Arial" w:cs="Arial" w:eastAsia="Arial" w:hAnsi="Arial"/>
          <w:color w:val="000000"/>
          <w:sz w:val="22"/>
          <w:szCs w:val="22"/>
        </w:rPr>
        <w:t xml:space="preserve">Los datos solicitados en la landing son nombre, correo electrónico, teléfono y tipo de instrumento de interés. En WhatsApp, el flujo trabaja con los datos ya capturados y enriquece el perfil con el monto de inversión y la preferencia de producto. El criterio general es pedir solo lo indispensable en cada etapa y enriquecer el perfil progresivamente.</w:t>
      </w:r>
    </w:p>
    <w:p>
      <w:r>
        <w:br w:type="page"/>
      </w:r>
    </w:p>
    <w:p>
      <w:pPr>
        <w:pStyle w:val="Heading1"/>
        <w:spacing w:after="200" w:before="360"/>
      </w:pPr>
      <w:r>
        <w:rPr>
          <w:rFonts w:ascii="Arial" w:cs="Arial" w:eastAsia="Arial" w:hAnsi="Arial"/>
          <w:b/>
          <w:bCs/>
          <w:color w:val="1F3864"/>
          <w:sz w:val="28"/>
          <w:szCs w:val="28"/>
        </w:rPr>
        <w:t xml:space="preserve">4. Diseño del Flujo Conversacional Avanzado</w:t>
      </w:r>
    </w:p>
    <w:p>
      <w:pPr>
        <w:spacing w:after="200" w:line="276"/>
        <w:jc w:val="both"/>
      </w:pPr>
      <w:r>
        <w:rPr>
          <w:rFonts w:ascii="Arial" w:cs="Arial" w:eastAsia="Arial" w:hAnsi="Arial"/>
          <w:color w:val="000000"/>
          <w:sz w:val="22"/>
          <w:szCs w:val="22"/>
        </w:rPr>
        <w:t xml:space="preserve">El flujo conversacional se diseña en WhatsApp a través de ManyChat, con sincronización a HubSpot y continuación por email. Está pensado para un producto de alto involucramiento: no empuja a invertir, sino que acompaña, educa y resuelve en el momento preciso en que el usuario lo necesita.</w:t>
      </w:r>
    </w:p>
    <w:p>
      <w:pPr>
        <w:spacing w:after="160" w:before="160" w:line="276"/>
        <w:jc w:val="both"/>
      </w:pPr>
      <w:r>
        <w:rPr>
          <w:rFonts w:ascii="Arial" w:cs="Arial" w:eastAsia="Arial" w:hAnsi="Arial"/>
          <w:b/>
          <w:bCs/>
          <w:color w:val="2E5090"/>
          <w:sz w:val="22"/>
          <w:szCs w:val="22"/>
        </w:rPr>
        <w:t xml:space="preserve">1. Punto de entrada — anuncio Meta</w:t>
      </w:r>
      <w:r>
        <w:rPr>
          <w:rFonts w:ascii="Arial" w:cs="Arial" w:eastAsia="Arial" w:hAnsi="Arial"/>
          <w:color w:val="000000"/>
          <w:sz w:val="22"/>
          <w:szCs w:val="22"/>
        </w:rPr>
        <w:t xml:space="preserve"> — </w:t>
      </w:r>
      <w:r>
        <w:rPr>
          <w:rFonts w:ascii="Arial" w:cs="Arial" w:eastAsia="Arial" w:hAnsi="Arial"/>
          <w:color w:val="000000"/>
          <w:sz w:val="22"/>
          <w:szCs w:val="22"/>
        </w:rPr>
        <w:t xml:space="preserve">Texto del anuncio: «¿Tu plata está parada en el banco? Hay una forma de hacerla trabajar por ti. Empieza con poco más de $100.000». CTA: «Más información» → Landing Page (formulario de captura). Del total de 187.135 impresiones, se generaron 2.852 clics (CTR: 1,52%).</w:t>
      </w:r>
    </w:p>
    <w:p>
      <w:pPr>
        <w:spacing w:after="160" w:before="160" w:line="276"/>
        <w:jc w:val="both"/>
      </w:pPr>
      <w:r>
        <w:rPr>
          <w:rFonts w:ascii="Arial" w:cs="Arial" w:eastAsia="Arial" w:hAnsi="Arial"/>
          <w:b/>
          <w:bCs/>
          <w:color w:val="2E5090"/>
          <w:sz w:val="22"/>
          <w:szCs w:val="22"/>
        </w:rPr>
        <w:t xml:space="preserve">2. Mensaje inicial — hook del chatbot</w:t>
      </w:r>
      <w:r>
        <w:rPr>
          <w:rFonts w:ascii="Arial" w:cs="Arial" w:eastAsia="Arial" w:hAnsi="Arial"/>
          <w:color w:val="000000"/>
          <w:sz w:val="22"/>
          <w:szCs w:val="22"/>
        </w:rPr>
        <w:t xml:space="preserve"> — </w:t>
      </w:r>
      <w:r>
        <w:rPr>
          <w:rFonts w:ascii="Arial" w:cs="Arial" w:eastAsia="Arial" w:hAnsi="Arial"/>
          <w:color w:val="000000"/>
          <w:sz w:val="22"/>
          <w:szCs w:val="22"/>
        </w:rPr>
        <w:t xml:space="preserve">«Hola [nombre], bienvenido/a a Cumplo. Somos una plataforma donde puedes invertir en empresas reales y hacer crecer tu dinero. ¿Te cuento cómo funciona?» Opciones: [Sí, cuéntame] · [Tengo una duda primero]. De los 1.142 leads captados, 697 iniciaron conversación en WhatsApp (61,03%).</w:t>
      </w:r>
    </w:p>
    <w:p>
      <w:pPr>
        <w:spacing w:after="160" w:before="160" w:line="276"/>
        <w:jc w:val="both"/>
      </w:pPr>
      <w:r>
        <w:rPr>
          <w:rFonts w:ascii="Arial" w:cs="Arial" w:eastAsia="Arial" w:hAnsi="Arial"/>
          <w:b/>
          <w:bCs/>
          <w:color w:val="2E5090"/>
          <w:sz w:val="22"/>
          <w:szCs w:val="22"/>
        </w:rPr>
        <w:t xml:space="preserve">3. Primera pregunta de segmentación</w:t>
      </w:r>
      <w:r>
        <w:rPr>
          <w:rFonts w:ascii="Arial" w:cs="Arial" w:eastAsia="Arial" w:hAnsi="Arial"/>
          <w:color w:val="000000"/>
          <w:sz w:val="22"/>
          <w:szCs w:val="22"/>
        </w:rPr>
        <w:t xml:space="preserve"> — </w:t>
      </w:r>
      <w:r>
        <w:rPr>
          <w:rFonts w:ascii="Arial" w:cs="Arial" w:eastAsia="Arial" w:hAnsi="Arial"/>
          <w:color w:val="000000"/>
          <w:sz w:val="22"/>
          <w:szCs w:val="22"/>
        </w:rPr>
        <w:t xml:space="preserve">«¿Cuál de estas opciones describe mejor lo que buscas?» Opción A — Token: quiero algo simple, diversificado y con liquidez programada. Opción B — Directa: prefiero elegir en qué empresas invertir. Opción C — Exploración: aún no tengo claro, quiero conocer más. 572 usuarios respondieron la pregunta de segmentación (82,07% de quienes iniciaron conversación).</w:t>
      </w:r>
    </w:p>
    <w:p>
      <w:pPr>
        <w:spacing w:after="160" w:before="160" w:line="276"/>
        <w:jc w:val="both"/>
      </w:pPr>
      <w:r>
        <w:rPr>
          <w:rFonts w:ascii="Arial" w:cs="Arial" w:eastAsia="Arial" w:hAnsi="Arial"/>
          <w:b/>
          <w:bCs/>
          <w:color w:val="2E5090"/>
          <w:sz w:val="22"/>
          <w:szCs w:val="22"/>
        </w:rPr>
        <w:t xml:space="preserve">4. Presentación del producto según perfil</w:t>
      </w:r>
      <w:r>
        <w:rPr>
          <w:rFonts w:ascii="Arial" w:cs="Arial" w:eastAsia="Arial" w:hAnsi="Arial"/>
          <w:color w:val="000000"/>
          <w:sz w:val="22"/>
          <w:szCs w:val="22"/>
        </w:rPr>
        <w:t xml:space="preserve"> — </w:t>
      </w:r>
      <w:r>
        <w:rPr>
          <w:rFonts w:ascii="Arial" w:cs="Arial" w:eastAsia="Arial" w:hAnsi="Arial"/>
          <w:color w:val="000000"/>
          <w:sz w:val="22"/>
          <w:szCs w:val="22"/>
        </w:rPr>
        <w:t xml:space="preserve">Perfil Token (A): describe Index Token (rentabilidad acumulada 7,38%, liquidez diaria tras 30 días) y Puma Token (8,41% acumulado, liquidez trimestral), inversión desde ~$100.000 pesos. Perfil Directa (B): explica anticipos de factura y capital de trabajo, tasas anuales 12,5%–21%, plazos 15 a 186 días. En exploración (C): explica el modelo colaborativo y redirige a Opción A o B.</w:t>
      </w:r>
    </w:p>
    <w:p>
      <w:pPr>
        <w:spacing w:after="160" w:before="160" w:line="276"/>
        <w:jc w:val="both"/>
      </w:pPr>
      <w:r>
        <w:rPr>
          <w:rFonts w:ascii="Arial" w:cs="Arial" w:eastAsia="Arial" w:hAnsi="Arial"/>
          <w:b/>
          <w:bCs/>
          <w:color w:val="2E5090"/>
          <w:sz w:val="22"/>
          <w:szCs w:val="22"/>
        </w:rPr>
        <w:t xml:space="preserve">5. Módulo de objeciones — activado por palabras clave</w:t>
      </w:r>
      <w:r>
        <w:rPr>
          <w:rFonts w:ascii="Arial" w:cs="Arial" w:eastAsia="Arial" w:hAnsi="Arial"/>
          <w:color w:val="000000"/>
          <w:sz w:val="22"/>
          <w:szCs w:val="22"/>
        </w:rPr>
        <w:t xml:space="preserve"> — </w:t>
      </w:r>
      <w:r>
        <w:rPr>
          <w:rFonts w:ascii="Arial" w:cs="Arial" w:eastAsia="Arial" w:hAnsi="Arial"/>
          <w:color w:val="000000"/>
          <w:sz w:val="22"/>
          <w:szCs w:val="22"/>
        </w:rPr>
        <w:t xml:space="preserve">Triggers: «riesgo», «seguro», «perder», «mora», «banco». Ejemplo de respuesta: «Toda inversión tiene riesgo, y en Cumplo lo decimos claramente. Por eso te recomendamos comenzar con los tokens, que diversifican automáticamente entre muchas empresas. Nuestro default histórico es del 0,45%.» 464 usuarios avanzaron al CTA final (66,57% de quienes iniciaron conversación, superando la meta interna del 50%).</w:t>
      </w:r>
    </w:p>
    <w:p>
      <w:pPr>
        <w:spacing w:after="160" w:before="160" w:line="276"/>
        <w:jc w:val="both"/>
      </w:pPr>
      <w:r>
        <w:rPr>
          <w:rFonts w:ascii="Arial" w:cs="Arial" w:eastAsia="Arial" w:hAnsi="Arial"/>
          <w:b/>
          <w:bCs/>
          <w:color w:val="2E5090"/>
          <w:sz w:val="22"/>
          <w:szCs w:val="22"/>
        </w:rPr>
        <w:t xml:space="preserve">6. CTAs y derivación al registro</w:t>
      </w:r>
      <w:r>
        <w:rPr>
          <w:rFonts w:ascii="Arial" w:cs="Arial" w:eastAsia="Arial" w:hAnsi="Arial"/>
          <w:color w:val="000000"/>
          <w:sz w:val="22"/>
          <w:szCs w:val="22"/>
        </w:rPr>
        <w:t xml:space="preserve"> — </w:t>
      </w:r>
      <w:r>
        <w:rPr>
          <w:rFonts w:ascii="Arial" w:cs="Arial" w:eastAsia="Arial" w:hAnsi="Arial"/>
          <w:color w:val="000000"/>
          <w:sz w:val="22"/>
          <w:szCs w:val="22"/>
        </w:rPr>
        <w:t xml:space="preserve">CTA principal: «Regístrate gratis aquí» — enlace directo al flujo de registro en la plataforma. CTA secundario: «Explorar oportunidades disponibles» — acceso a la vitrina pública sin registro previo. 241 leads completaron el registro (tasa de registro del 21,10%, superando la meta interna del 15%). De ellos, 154 exploraron oportunidades (63,90%).</w:t>
      </w:r>
    </w:p>
    <w:p>
      <w:pPr>
        <w:spacing w:after="160" w:before="160" w:line="276"/>
        <w:jc w:val="both"/>
      </w:pPr>
      <w:r>
        <w:rPr>
          <w:rFonts w:ascii="Arial" w:cs="Arial" w:eastAsia="Arial" w:hAnsi="Arial"/>
          <w:b/>
          <w:bCs/>
          <w:color w:val="2E5090"/>
          <w:sz w:val="22"/>
          <w:szCs w:val="22"/>
        </w:rPr>
        <w:t xml:space="preserve">7. Continuación por email — secuencia HubSpot</w:t>
      </w:r>
      <w:r>
        <w:rPr>
          <w:rFonts w:ascii="Arial" w:cs="Arial" w:eastAsia="Arial" w:hAnsi="Arial"/>
          <w:color w:val="000000"/>
          <w:sz w:val="22"/>
          <w:szCs w:val="22"/>
        </w:rPr>
        <w:t xml:space="preserve"> — </w:t>
      </w:r>
      <w:r>
        <w:rPr>
          <w:rFonts w:ascii="Arial" w:cs="Arial" w:eastAsia="Arial" w:hAnsi="Arial"/>
          <w:color w:val="000000"/>
          <w:sz w:val="22"/>
          <w:szCs w:val="22"/>
        </w:rPr>
        <w:t xml:space="preserve">Día 0: correo de bienvenida y contexto. Día 2: profundización en el producto según perfil asignado por tag. Día 5: prueba social, datos de trayectoria y CTA final. Si el usuario no abre los correos, HubSpot activa un flujo de reactivación con asunto diferente. El open rate alcanzó el 41% (meta interna: &gt;30%), el CTR de email fue del 14%, y la tasa de baja se mantuvo en 1,1%.</w:t>
      </w:r>
    </w:p>
    <w:p>
      <w:r>
        <w:br w:type="page"/>
      </w:r>
    </w:p>
    <w:p>
      <w:pPr>
        <w:pStyle w:val="Heading1"/>
        <w:spacing w:after="200" w:before="360"/>
      </w:pPr>
      <w:r>
        <w:rPr>
          <w:rFonts w:ascii="Arial" w:cs="Arial" w:eastAsia="Arial" w:hAnsi="Arial"/>
          <w:b/>
          <w:bCs/>
          <w:color w:val="1F3864"/>
          <w:sz w:val="28"/>
          <w:szCs w:val="28"/>
        </w:rPr>
        <w:t xml:space="preserve">5. Resultados Esperados y KPIs</w:t>
      </w:r>
    </w:p>
    <w:p>
      <w:pPr>
        <w:spacing w:after="200" w:line="276"/>
        <w:jc w:val="both"/>
      </w:pPr>
      <w:r>
        <w:rPr>
          <w:rFonts w:ascii="Arial" w:cs="Arial" w:eastAsia="Arial" w:hAnsi="Arial"/>
          <w:color w:val="000000"/>
          <w:sz w:val="22"/>
          <w:szCs w:val="22"/>
        </w:rPr>
        <w:t xml:space="preserve">Los indicadores de rendimiento se organizan en cuatro niveles del funnel conversacional, priorizando métricas de negocio y de avance en el flujo por sobre métricas de vanidad. La simulación del piloto de 30 días permite contrastar las metas internas con los resultados obtenidos.</w:t>
      </w:r>
    </w:p>
    <w:tbl>
      <w:tblPr>
        <w:tblW w:type="dxa" w:w="10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2600"/>
            <w:tcBorders>
              <w:top w:val="single" w:color="CCCCCC" w:sz="1"/>
              <w:left w:val="single" w:color="CCCCCC" w:sz="1"/>
              <w:bottom w:val="single" w:color="CCCCCC" w:sz="1"/>
              <w:right w:val="single" w:color="CCCCCC" w:sz="1"/>
            </w:tcBorders>
            <w:shd w:fill="D5E8F0" w:color="auto" w:val="clear"/>
            <w:vAlign w:val="center"/>
          </w:tcPr>
          <w:p>
            <w:pPr>
              <w:spacing w:after="40" w:before="40"/>
              <w:jc w:val="center"/>
            </w:pPr>
            <w:r>
              <w:rPr>
                <w:rFonts w:ascii="Arial" w:cs="Arial" w:eastAsia="Arial" w:hAnsi="Arial"/>
                <w:b/>
                <w:bCs/>
                <w:color w:val="000000"/>
                <w:sz w:val="20"/>
                <w:szCs w:val="20"/>
              </w:rPr>
              <w:t xml:space="preserve">Indicador</w:t>
            </w:r>
          </w:p>
        </w:tc>
        <w:tc>
          <w:tcPr>
            <w:tcW w:type="dxa" w:w="1200"/>
            <w:tcBorders>
              <w:top w:val="single" w:color="CCCCCC" w:sz="1"/>
              <w:left w:val="single" w:color="CCCCCC" w:sz="1"/>
              <w:bottom w:val="single" w:color="CCCCCC" w:sz="1"/>
              <w:right w:val="single" w:color="CCCCCC" w:sz="1"/>
            </w:tcBorders>
            <w:shd w:fill="D5E8F0" w:color="auto" w:val="clear"/>
            <w:vAlign w:val="center"/>
          </w:tcPr>
          <w:p>
            <w:pPr>
              <w:spacing w:after="40" w:before="40"/>
              <w:jc w:val="center"/>
            </w:pPr>
            <w:r>
              <w:rPr>
                <w:rFonts w:ascii="Arial" w:cs="Arial" w:eastAsia="Arial" w:hAnsi="Arial"/>
                <w:b/>
                <w:bCs/>
                <w:color w:val="000000"/>
                <w:sz w:val="20"/>
                <w:szCs w:val="20"/>
              </w:rPr>
              <w:t xml:space="preserve">Tipo</w:t>
            </w:r>
          </w:p>
        </w:tc>
        <w:tc>
          <w:tcPr>
            <w:tcW w:type="dxa" w:w="1200"/>
            <w:tcBorders>
              <w:top w:val="single" w:color="CCCCCC" w:sz="1"/>
              <w:left w:val="single" w:color="CCCCCC" w:sz="1"/>
              <w:bottom w:val="single" w:color="CCCCCC" w:sz="1"/>
              <w:right w:val="single" w:color="CCCCCC" w:sz="1"/>
            </w:tcBorders>
            <w:shd w:fill="D5E8F0" w:color="auto" w:val="clear"/>
            <w:vAlign w:val="center"/>
          </w:tcPr>
          <w:p>
            <w:pPr>
              <w:spacing w:after="40" w:before="40"/>
              <w:jc w:val="center"/>
            </w:pPr>
            <w:r>
              <w:rPr>
                <w:rFonts w:ascii="Arial" w:cs="Arial" w:eastAsia="Arial" w:hAnsi="Arial"/>
                <w:b/>
                <w:bCs/>
                <w:color w:val="000000"/>
                <w:sz w:val="20"/>
                <w:szCs w:val="20"/>
              </w:rPr>
              <w:t xml:space="preserve">Meta interna</w:t>
            </w:r>
          </w:p>
        </w:tc>
        <w:tc>
          <w:tcPr>
            <w:tcW w:type="dxa" w:w="3200"/>
            <w:tcBorders>
              <w:top w:val="single" w:color="CCCCCC" w:sz="1"/>
              <w:left w:val="single" w:color="CCCCCC" w:sz="1"/>
              <w:bottom w:val="single" w:color="CCCCCC" w:sz="1"/>
              <w:right w:val="single" w:color="CCCCCC" w:sz="1"/>
            </w:tcBorders>
            <w:shd w:fill="D5E8F0" w:color="auto" w:val="clear"/>
            <w:vAlign w:val="center"/>
          </w:tcPr>
          <w:p>
            <w:pPr>
              <w:spacing w:after="40" w:before="40"/>
              <w:jc w:val="center"/>
            </w:pPr>
            <w:r>
              <w:rPr>
                <w:rFonts w:ascii="Arial" w:cs="Arial" w:eastAsia="Arial" w:hAnsi="Arial"/>
                <w:b/>
                <w:bCs/>
                <w:color w:val="000000"/>
                <w:sz w:val="20"/>
                <w:szCs w:val="20"/>
              </w:rPr>
              <w:t xml:space="preserve">Resultado simulado</w:t>
            </w:r>
          </w:p>
        </w:tc>
        <w:tc>
          <w:tcPr>
            <w:tcW w:type="dxa" w:w="2300"/>
            <w:tcBorders>
              <w:top w:val="single" w:color="CCCCCC" w:sz="1"/>
              <w:left w:val="single" w:color="CCCCCC" w:sz="1"/>
              <w:bottom w:val="single" w:color="CCCCCC" w:sz="1"/>
              <w:right w:val="single" w:color="CCCCCC" w:sz="1"/>
            </w:tcBorders>
            <w:shd w:fill="D5E8F0" w:color="auto" w:val="clear"/>
            <w:vAlign w:val="center"/>
          </w:tcPr>
          <w:p>
            <w:pPr>
              <w:spacing w:after="40" w:before="40"/>
              <w:jc w:val="center"/>
            </w:pPr>
            <w:r>
              <w:rPr>
                <w:rFonts w:ascii="Arial" w:cs="Arial" w:eastAsia="Arial" w:hAnsi="Arial"/>
                <w:b/>
                <w:bCs/>
                <w:color w:val="000000"/>
                <w:sz w:val="20"/>
                <w:szCs w:val="20"/>
              </w:rPr>
              <w:t xml:space="preserve">Cumplimiento</w:t>
            </w:r>
          </w:p>
        </w:tc>
      </w:tr>
      <w:tr>
        <w:tc>
          <w:tcPr>
            <w:tcW w:type="dxa" w:w="26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CTR del anuncio</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Captación</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000000"/>
                <w:sz w:val="18"/>
                <w:szCs w:val="18"/>
              </w:rPr>
              <w:t xml:space="preserve">1,52% (Token: 1,85% · Directa: 1,17%)</w:t>
            </w:r>
          </w:p>
        </w:tc>
        <w:tc>
          <w:tcPr>
            <w:tcW w:type="dxa" w:w="23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666666"/>
                <w:sz w:val="18"/>
                <w:szCs w:val="18"/>
              </w:rPr>
              <w:t xml:space="preserve">Referencia</w:t>
            </w:r>
          </w:p>
        </w:tc>
      </w:tr>
      <w:tr>
        <w:tc>
          <w:tcPr>
            <w:tcW w:type="dxa" w:w="26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Inicio de conversación WhatsApp</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Captación</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000000"/>
                <w:sz w:val="18"/>
                <w:szCs w:val="18"/>
              </w:rPr>
              <w:t xml:space="preserve">61,03% (697 de 1.142 leads)</w:t>
            </w:r>
          </w:p>
        </w:tc>
        <w:tc>
          <w:tcPr>
            <w:tcW w:type="dxa" w:w="23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666666"/>
                <w:sz w:val="18"/>
                <w:szCs w:val="18"/>
              </w:rPr>
              <w:t xml:space="preserve">Referencia</w:t>
            </w:r>
          </w:p>
        </w:tc>
      </w:tr>
      <w:tr>
        <w:tc>
          <w:tcPr>
            <w:tcW w:type="dxa" w:w="26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Abandono en landing page</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Fricción</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000000"/>
                <w:sz w:val="18"/>
                <w:szCs w:val="18"/>
              </w:rPr>
              <w:t xml:space="preserve">Tasa de conversión landing: 40,04%</w:t>
            </w:r>
          </w:p>
        </w:tc>
        <w:tc>
          <w:tcPr>
            <w:tcW w:type="dxa" w:w="23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666666"/>
                <w:sz w:val="18"/>
                <w:szCs w:val="18"/>
              </w:rPr>
              <w:t xml:space="preserve">Referencia</w:t>
            </w:r>
          </w:p>
        </w:tc>
      </w:tr>
      <w:tr>
        <w:tc>
          <w:tcPr>
            <w:tcW w:type="dxa" w:w="26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Respuesta a pregunta de segmentación</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Activación</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000000"/>
                <w:sz w:val="18"/>
                <w:szCs w:val="18"/>
              </w:rPr>
              <w:t xml:space="preserve">82,07% (572 de 697)</w:t>
            </w:r>
          </w:p>
        </w:tc>
        <w:tc>
          <w:tcPr>
            <w:tcW w:type="dxa" w:w="23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666666"/>
                <w:sz w:val="18"/>
                <w:szCs w:val="18"/>
              </w:rPr>
              <w:t xml:space="preserve">Referencia</w:t>
            </w:r>
          </w:p>
        </w:tc>
      </w:tr>
      <w:tr>
        <w:tc>
          <w:tcPr>
            <w:tcW w:type="dxa" w:w="26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Tasa de avance en el flujo</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Activación</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&gt;50%</w:t>
            </w:r>
          </w:p>
        </w:tc>
        <w:tc>
          <w:tcPr>
            <w:tcW w:type="dxa" w:w="3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000000"/>
                <w:sz w:val="18"/>
                <w:szCs w:val="18"/>
              </w:rPr>
              <w:t xml:space="preserve">66,57% (464 de 697)</w:t>
            </w:r>
          </w:p>
        </w:tc>
        <w:tc>
          <w:tcPr>
            <w:tcW w:type="dxa" w:w="23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2E7D32"/>
                <w:sz w:val="18"/>
                <w:szCs w:val="18"/>
              </w:rPr>
              <w:t xml:space="preserve">✓ Cumple</w:t>
            </w:r>
          </w:p>
        </w:tc>
      </w:tr>
      <w:tr>
        <w:tc>
          <w:tcPr>
            <w:tcW w:type="dxa" w:w="26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Tasa de registro completado</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Conversión</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&gt;15%</w:t>
            </w:r>
          </w:p>
        </w:tc>
        <w:tc>
          <w:tcPr>
            <w:tcW w:type="dxa" w:w="3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000000"/>
                <w:sz w:val="18"/>
                <w:szCs w:val="18"/>
              </w:rPr>
              <w:t xml:space="preserve">21,10% (241 de 1.142)</w:t>
            </w:r>
          </w:p>
        </w:tc>
        <w:tc>
          <w:tcPr>
            <w:tcW w:type="dxa" w:w="23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2E7D32"/>
                <w:sz w:val="18"/>
                <w:szCs w:val="18"/>
              </w:rPr>
              <w:t xml:space="preserve">✓ Cumple</w:t>
            </w:r>
          </w:p>
        </w:tc>
      </w:tr>
      <w:tr>
        <w:tc>
          <w:tcPr>
            <w:tcW w:type="dxa" w:w="26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Primera exploración de oportunidades</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Conversión</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000000"/>
                <w:sz w:val="18"/>
                <w:szCs w:val="18"/>
              </w:rPr>
              <w:t xml:space="preserve">63,90% (154 de 241)</w:t>
            </w:r>
          </w:p>
        </w:tc>
        <w:tc>
          <w:tcPr>
            <w:tcW w:type="dxa" w:w="23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666666"/>
                <w:sz w:val="18"/>
                <w:szCs w:val="18"/>
              </w:rPr>
              <w:t xml:space="preserve">Referencia</w:t>
            </w:r>
          </w:p>
        </w:tc>
      </w:tr>
      <w:tr>
        <w:tc>
          <w:tcPr>
            <w:tcW w:type="dxa" w:w="26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Primera inversión efectiva (KPI estrella)</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Negocio</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000000"/>
                <w:sz w:val="18"/>
                <w:szCs w:val="18"/>
              </w:rPr>
              <w:t xml:space="preserve">29,05% (70 de 241)</w:t>
            </w:r>
          </w:p>
        </w:tc>
        <w:tc>
          <w:tcPr>
            <w:tcW w:type="dxa" w:w="23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BF8C00"/>
                <w:sz w:val="18"/>
                <w:szCs w:val="18"/>
              </w:rPr>
              <w:t xml:space="preserve">KPI estrella</w:t>
            </w:r>
          </w:p>
        </w:tc>
      </w:tr>
      <w:tr>
        <w:tc>
          <w:tcPr>
            <w:tcW w:type="dxa" w:w="26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Tasa de apertura email</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Email</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&gt;30%</w:t>
            </w:r>
          </w:p>
        </w:tc>
        <w:tc>
          <w:tcPr>
            <w:tcW w:type="dxa" w:w="3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000000"/>
                <w:sz w:val="18"/>
                <w:szCs w:val="18"/>
              </w:rPr>
              <w:t xml:space="preserve">41,0%</w:t>
            </w:r>
          </w:p>
        </w:tc>
        <w:tc>
          <w:tcPr>
            <w:tcW w:type="dxa" w:w="23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2E7D32"/>
                <w:sz w:val="18"/>
                <w:szCs w:val="18"/>
              </w:rPr>
              <w:t xml:space="preserve">✓ Cumple</w:t>
            </w:r>
          </w:p>
        </w:tc>
      </w:tr>
      <w:tr>
        <w:tc>
          <w:tcPr>
            <w:tcW w:type="dxa" w:w="26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CTR email</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Email</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000000"/>
                <w:sz w:val="18"/>
                <w:szCs w:val="18"/>
              </w:rPr>
              <w:t xml:space="preserve">14,0%</w:t>
            </w:r>
          </w:p>
        </w:tc>
        <w:tc>
          <w:tcPr>
            <w:tcW w:type="dxa" w:w="23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666666"/>
                <w:sz w:val="18"/>
                <w:szCs w:val="18"/>
              </w:rPr>
              <w:t xml:space="preserve">Referencia</w:t>
            </w:r>
          </w:p>
        </w:tc>
      </w:tr>
      <w:tr>
        <w:tc>
          <w:tcPr>
            <w:tcW w:type="dxa" w:w="26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Tasa de baja de lista</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Fricción</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&lt;1,5%</w:t>
            </w:r>
          </w:p>
        </w:tc>
        <w:tc>
          <w:tcPr>
            <w:tcW w:type="dxa" w:w="3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000000"/>
                <w:sz w:val="18"/>
                <w:szCs w:val="18"/>
              </w:rPr>
              <w:t xml:space="preserve">1,1%</w:t>
            </w:r>
          </w:p>
        </w:tc>
        <w:tc>
          <w:tcPr>
            <w:tcW w:type="dxa" w:w="23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2E7D32"/>
                <w:sz w:val="18"/>
                <w:szCs w:val="18"/>
              </w:rPr>
              <w:t xml:space="preserve">✓ Cumple</w:t>
            </w:r>
          </w:p>
        </w:tc>
      </w:tr>
      <w:tr>
        <w:tc>
          <w:tcPr>
            <w:tcW w:type="dxa" w:w="2600"/>
            <w:tcBorders>
              <w:top w:val="single" w:color="CCCCCC" w:sz="1"/>
              <w:left w:val="single" w:color="CCCCCC" w:sz="1"/>
              <w:bottom w:val="single" w:color="CCCCCC" w:sz="1"/>
              <w:right w:val="single" w:color="CCCCCC" w:sz="1"/>
            </w:tcBorders>
            <w:vAlign w:val="center"/>
          </w:tcPr>
          <w:p>
            <w:pPr>
              <w:spacing w:after="30" w:before="30"/>
              <w:jc w:val="left"/>
            </w:pPr>
            <w:r>
              <w:rPr>
                <w:rFonts w:ascii="Arial" w:cs="Arial" w:eastAsia="Arial" w:hAnsi="Arial"/>
                <w:b w:val="false"/>
                <w:bCs w:val="false"/>
                <w:color w:val="000000"/>
                <w:sz w:val="18"/>
                <w:szCs w:val="18"/>
              </w:rPr>
              <w:t xml:space="preserve">Reactivación por cambio de asunto</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Email</w:t>
            </w:r>
          </w:p>
        </w:tc>
        <w:tc>
          <w:tcPr>
            <w:tcW w:type="dxa" w:w="1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000000"/>
                <w:sz w:val="18"/>
                <w:szCs w:val="18"/>
              </w:rPr>
              <w:t xml:space="preserve">+9,0% aperturas adicionales</w:t>
            </w:r>
          </w:p>
        </w:tc>
        <w:tc>
          <w:tcPr>
            <w:tcW w:type="dxa" w:w="2300"/>
            <w:tcBorders>
              <w:top w:val="single" w:color="CCCCCC" w:sz="1"/>
              <w:left w:val="single" w:color="CCCCCC" w:sz="1"/>
              <w:bottom w:val="single" w:color="CCCCCC" w:sz="1"/>
              <w:right w:val="single" w:color="CCCCCC" w:sz="1"/>
            </w:tcBorders>
            <w:vAlign w:val="center"/>
          </w:tcPr>
          <w:p>
            <w:pPr>
              <w:spacing w:after="30" w:before="30"/>
              <w:jc w:val="center"/>
            </w:pPr>
            <w:r>
              <w:rPr>
                <w:rFonts w:ascii="Arial" w:cs="Arial" w:eastAsia="Arial" w:hAnsi="Arial"/>
                <w:b/>
                <w:bCs/>
                <w:color w:val="666666"/>
                <w:sz w:val="18"/>
                <w:szCs w:val="18"/>
              </w:rPr>
              <w:t xml:space="preserve">Referencia</w:t>
            </w:r>
          </w:p>
        </w:tc>
      </w:tr>
    </w:tbl>
    <w:p>
      <w:pPr>
        <w:spacing w:after="100"/>
      </w:pPr>
    </w:p>
    <w:p>
      <w:pPr>
        <w:spacing w:after="200" w:line="276"/>
        <w:jc w:val="both"/>
      </w:pPr>
      <w:r>
        <w:rPr>
          <w:rFonts w:ascii="Arial" w:cs="Arial" w:eastAsia="Arial" w:hAnsi="Arial"/>
          <w:color w:val="000000"/>
          <w:sz w:val="22"/>
          <w:szCs w:val="22"/>
        </w:rPr>
        <w:t xml:space="preserve">El KPI estrella del proyecto es la primera inversión efectiva: 70 usuarios registrados realizaron al menos una inversión real en la plataforma, lo que representa el 29,05% de los registrados. Este indicador movilizó un capital total de $20.760.000 CLP, distribuido en $6.480.000 CLP desde perfiles Token (36 inversiones con ticket promedio de $180.000) y $14.280.000 CLP desde perfiles de Inversión Directa (34 inversiones con ticket promedio de $420.000).</w:t>
      </w:r>
    </w:p>
    <w:p>
      <w:pPr>
        <w:spacing w:after="200" w:line="276"/>
        <w:jc w:val="both"/>
      </w:pPr>
      <w:r>
        <w:rPr>
          <w:rFonts w:ascii="Arial" w:cs="Arial" w:eastAsia="Arial" w:hAnsi="Arial"/>
          <w:color w:val="000000"/>
          <w:sz w:val="22"/>
          <w:szCs w:val="22"/>
        </w:rPr>
        <w:t xml:space="preserve">Nota sobre metas referenciales: las metas con porcentaje (&gt;15%, &gt;50%, &gt;30%) son referencias internas del proyecto para la fase piloto, no benchmarks de mercado verificados por fuente externa. Los resultados simulados superan todas las metas internas definidas, lo que sugiere que la estrategia conversacional es viable para un escalamiento posterior con presupuesto mayor.</w:t>
      </w:r>
    </w:p>
    <w:p>
      <w:r>
        <w:br w:type="page"/>
      </w:r>
    </w:p>
    <w:p>
      <w:pPr>
        <w:pStyle w:val="Heading1"/>
        <w:spacing w:after="200" w:before="360"/>
      </w:pPr>
      <w:r>
        <w:rPr>
          <w:rFonts w:ascii="Arial" w:cs="Arial" w:eastAsia="Arial" w:hAnsi="Arial"/>
          <w:b/>
          <w:bCs/>
          <w:color w:val="1F3864"/>
          <w:sz w:val="28"/>
          <w:szCs w:val="28"/>
        </w:rPr>
        <w:t xml:space="preserve">6. Justificación Estratégica Final</w:t>
      </w:r>
    </w:p>
    <w:p>
      <w:pPr>
        <w:spacing w:after="200" w:line="276"/>
        <w:jc w:val="both"/>
      </w:pPr>
      <w:r>
        <w:rPr>
          <w:rFonts w:ascii="Arial" w:cs="Arial" w:eastAsia="Arial" w:hAnsi="Arial"/>
          <w:color w:val="000000"/>
          <w:sz w:val="22"/>
          <w:szCs w:val="22"/>
        </w:rPr>
        <w:t xml:space="preserve">La estrategia propuesta es coherente con el tipo de campaña, el público y la naturaleza del servicio por tres razones centrales, ahora respaldadas con los datos cuantitativos de la simulación del piloto.</w:t>
      </w:r>
    </w:p>
    <w:p>
      <w:pPr>
        <w:spacing w:after="200" w:line="276"/>
        <w:jc w:val="both"/>
      </w:pPr>
      <w:r>
        <w:rPr>
          <w:rFonts w:ascii="Arial" w:cs="Arial" w:eastAsia="Arial" w:hAnsi="Arial"/>
          <w:color w:val="000000"/>
          <w:sz w:val="22"/>
          <w:szCs w:val="22"/>
        </w:rPr>
        <w:t xml:space="preserve">En primer lugar, la campaña de conversión está correctamente elegida para un usuario que ya tiene conciencia del problema (tiene dinero inmovilizado o con baja rentabilidad) pero aún no ha actuado. Los resultados del piloto lo confirman: con una inversión de $2.700.000 CLP se generaron 70 primeras inversiones y un capital movilizado de $20.760.000 CLP, lo que representa un retorno sobre inversión publicitaria (ROAS) de 7,7x en capital movilizado. El foco en conversión evita dispersar recursos en reconocimiento de marca donde la marca ya tiene presencia y credibilidad documentada.</w:t>
      </w:r>
    </w:p>
    <w:p>
      <w:pPr>
        <w:spacing w:after="200" w:line="276"/>
        <w:jc w:val="both"/>
      </w:pPr>
      <w:r>
        <w:rPr>
          <w:rFonts w:ascii="Arial" w:cs="Arial" w:eastAsia="Arial" w:hAnsi="Arial"/>
          <w:color w:val="000000"/>
          <w:sz w:val="22"/>
          <w:szCs w:val="22"/>
        </w:rPr>
        <w:t xml:space="preserve">En segundo lugar, la automatización omnicanal agrega valor real a la experiencia del usuario porque personaliza el journey según el perfil declarado, entrega información en el canal preferido del usuario, resuelve objeciones de manera inmediata y sin necesidad de intervención humana en la mayoría de los casos, y permite al equipo de Cumplo concentrar sus esfuerzos en los leads que han avanzado más en el flujo. La tasa de respuesta a segmentación del 82,07% y la tasa de avance al CTA del 66,57% confirman que el flujo conversacional funciona como mecanismo de calificación y educación progresiva.</w:t>
      </w:r>
    </w:p>
    <w:p>
      <w:pPr>
        <w:spacing w:after="200" w:line="276"/>
        <w:jc w:val="both"/>
      </w:pPr>
      <w:r>
        <w:rPr>
          <w:rFonts w:ascii="Arial" w:cs="Arial" w:eastAsia="Arial" w:hAnsi="Arial"/>
          <w:color w:val="000000"/>
          <w:sz w:val="22"/>
          <w:szCs w:val="22"/>
        </w:rPr>
        <w:t xml:space="preserve">En tercer lugar, el flujo conversacional reduce fricciones estructurales del proceso de decisión financiera. La barrera no es precio —Cumplo permite empezar desde poco más de $100.000— ni es falta de información genérica. La barrera es la percepción de riesgo y la falta de confianza en la plataforma. El flujo trabaja precisamente esa barrera: no empuja a invertir, sino que acompaña, educa y resuelve en el momento preciso. El open rate del 41% (vs. meta de 30%) y la tasa de registro del 21,10% (vs. meta de 15%) evidencian que los mensajes están calibrados correctamente para este público.</w:t>
      </w:r>
    </w:p>
    <w:p>
      <w:pPr>
        <w:spacing w:after="200" w:line="276"/>
        <w:jc w:val="both"/>
      </w:pPr>
      <w:r>
        <w:rPr>
          <w:rFonts w:ascii="Arial" w:cs="Arial" w:eastAsia="Arial" w:hAnsi="Arial"/>
          <w:color w:val="000000"/>
          <w:sz w:val="22"/>
          <w:szCs w:val="22"/>
        </w:rPr>
        <w:t xml:space="preserve">La propuesta es específica para Cumplo y no reciclable para cualquier empresa financiera porque integra los datos reales de la plataforma (tasa de default, rentabilidades acumuladas de los tokens, ejemplos de oportunidades publicadas), la lógica propia de un producto de inversión colaborativa, y la segmentación entre perfil token y perfil de inversión directa que es característica del modelo de negocio de Cumplo.</w:t>
      </w:r>
    </w:p>
    <w:p>
      <w:pPr>
        <w:spacing w:after="200" w:line="276"/>
        <w:jc w:val="both"/>
      </w:pPr>
      <w:r>
        <w:rPr>
          <w:rFonts w:ascii="Arial" w:cs="Arial" w:eastAsia="Arial" w:hAnsi="Arial"/>
          <w:color w:val="000000"/>
          <w:sz w:val="22"/>
          <w:szCs w:val="22"/>
        </w:rPr>
        <w:t xml:space="preserve">La combinación de un flujo conversacional bien diseñado, una campaña de conversión claramente orientada y un CRM que segmenta y nutre de manera progresiva constituye una estrategia viable, medible y defendible para reducir la brecha entre interés e inversión que representa el principal desafío de marketing de Cumplo Inversionistas.</w:t>
      </w:r>
    </w:p>
    <w:p>
      <w:r>
        <w:br w:type="page"/>
      </w:r>
    </w:p>
    <w:p>
      <w:pPr>
        <w:pStyle w:val="Heading1"/>
        <w:spacing w:after="200" w:before="360"/>
      </w:pPr>
      <w:r>
        <w:rPr>
          <w:rFonts w:ascii="Arial" w:cs="Arial" w:eastAsia="Arial" w:hAnsi="Arial"/>
          <w:b/>
          <w:bCs/>
          <w:color w:val="1F3864"/>
          <w:sz w:val="28"/>
          <w:szCs w:val="28"/>
        </w:rPr>
        <w:t xml:space="preserve">Referencias</w:t>
      </w:r>
    </w:p>
    <w:p>
      <w:pPr>
        <w:spacing w:after="160" w:line="276"/>
      </w:pPr>
      <w:r>
        <w:rPr>
          <w:rFonts w:ascii="Arial" w:cs="Arial" w:eastAsia="Arial" w:hAnsi="Arial"/>
          <w:color w:val="000000"/>
          <w:sz w:val="22"/>
          <w:szCs w:val="22"/>
        </w:rPr>
        <w:t xml:space="preserve">Cumplo. (2025a). Financiamiento colaborativo, inversiones con sentido [Sitio web corporativo]. </w:t>
      </w:r>
      <w:r>
        <w:rPr>
          <w:rFonts w:ascii="Arial" w:cs="Arial" w:eastAsia="Arial" w:hAnsi="Arial"/>
          <w:color w:val="0563C1"/>
          <w:sz w:val="22"/>
          <w:szCs w:val="22"/>
          <w:u w:val="single"/>
        </w:rPr>
        <w:t xml:space="preserve">https://cumplo.com/</w:t>
      </w:r>
    </w:p>
    <w:p>
      <w:pPr>
        <w:spacing w:after="160" w:line="276"/>
      </w:pPr>
      <w:r>
        <w:rPr>
          <w:rFonts w:ascii="Arial" w:cs="Arial" w:eastAsia="Arial" w:hAnsi="Arial"/>
          <w:color w:val="000000"/>
          <w:sz w:val="22"/>
          <w:szCs w:val="22"/>
        </w:rPr>
        <w:t xml:space="preserve">Cumplo. (2025b). La forma más simple de invertir en empresas de alto potencial [Landing page inversionistas]. </w:t>
      </w:r>
      <w:r>
        <w:rPr>
          <w:rFonts w:ascii="Arial" w:cs="Arial" w:eastAsia="Arial" w:hAnsi="Arial"/>
          <w:color w:val="0563C1"/>
          <w:sz w:val="22"/>
          <w:szCs w:val="22"/>
          <w:u w:val="single"/>
        </w:rPr>
        <w:t xml:space="preserve">https://invierte.cumplo.com/</w:t>
      </w:r>
    </w:p>
    <w:p>
      <w:pPr>
        <w:spacing w:after="100"/>
      </w:pPr>
    </w:p>
    <w:p>
      <w:pPr>
        <w:pStyle w:val="Heading1"/>
        <w:spacing w:after="200" w:before="360"/>
      </w:pPr>
      <w:r>
        <w:rPr>
          <w:rFonts w:ascii="Arial" w:cs="Arial" w:eastAsia="Arial" w:hAnsi="Arial"/>
          <w:b/>
          <w:bCs/>
          <w:color w:val="1F3864"/>
          <w:sz w:val="28"/>
          <w:szCs w:val="28"/>
        </w:rPr>
        <w:t xml:space="preserve">Declaración de Uso de Inteligencia Artificial</w:t>
      </w:r>
    </w:p>
    <w:p>
      <w:pPr>
        <w:spacing w:after="200" w:line="276"/>
        <w:jc w:val="both"/>
      </w:pPr>
      <w:r>
        <w:rPr>
          <w:rFonts w:ascii="Arial" w:cs="Arial" w:eastAsia="Arial" w:hAnsi="Arial"/>
          <w:color w:val="000000"/>
          <w:sz w:val="22"/>
          <w:szCs w:val="22"/>
        </w:rPr>
        <w:t xml:space="preserve">El contenido de este trabajo fue desarrollado con apoyo de herramientas de Inteligencia Artificial bajo supervisión académica y cumpliendo con los criterios éticos establecidos.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2026-04-13T20:52:50.700Z</dcterms:created>
  <dcterms:modified xsi:type="dcterms:W3CDTF">2026-04-13T20:52:50.701Z</dcterms:modified>
</cp:coreProperties>
</file>

<file path=docProps/custom.xml><?xml version="1.0" encoding="utf-8"?>
<Properties xmlns="http://schemas.openxmlformats.org/officeDocument/2006/custom-properties" xmlns:vt="http://schemas.openxmlformats.org/officeDocument/2006/docPropsVTypes"/>
</file>