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b/>
          <w:bCs/>
          <w:color w:val="A8482A"/>
          <w:sz w:val="18"/>
          <w:szCs w:val="18"/>
        </w:rPr>
        <w:t xml:space="preserve">TALLER APLICADO DE MARKETING III  ·  DUOC UC  ·  2026</w:t>
      </w:r>
    </w:p>
    <w:p>
      <w:pPr>
        <w:spacing w:after="80"/>
      </w:pPr>
      <w:r>
        <w:rPr>
          <w:b/>
          <w:bCs/>
          <w:color w:val="1A1A1A"/>
          <w:sz w:val="52"/>
          <w:szCs w:val="52"/>
        </w:rPr>
        <w:t xml:space="preserve">Desafío Marley Coffee</w:t>
      </w:r>
    </w:p>
    <w:p>
      <w:pPr>
        <w:spacing w:after="400"/>
      </w:pPr>
      <w:r>
        <w:rPr>
          <w:color w:val="A8482A"/>
          <w:sz w:val="30"/>
          <w:szCs w:val="30"/>
        </w:rPr>
        <w:t xml:space="preserve">Diagnóstico: el punto de fuga del negocio food service</w:t>
      </w:r>
    </w:p>
    <w:p>
      <w:pPr>
        <w:spacing w:after="500" w:before="0" w:line="276"/>
      </w:pPr>
      <w:r>
        <w:rPr>
          <w:b/>
          <w:bCs/>
          <w:color w:val="1A1A1A"/>
          <w:sz w:val="22"/>
          <w:szCs w:val="22"/>
        </w:rPr>
        <w:t xml:space="preserve">Marley Coffee pierde cerca del 10% de su negocio food service cada año, y no puede verlo. </w:t>
      </w:r>
      <w:r>
        <w:rPr>
          <w:color w:val="1A1A1A"/>
          <w:sz w:val="22"/>
          <w:szCs w:val="22"/>
        </w:rPr>
        <w:t xml:space="preserve">Este documento identifica dónde se pierde, cuánto vale, por qué ocurre y qué haría falta para poder observarlo.</w:t>
      </w:r>
    </w:p>
    <w:p>
      <w:pPr>
        <w:pBdr>
          <w:bottom w:val="single" w:color="CCCCCC" w:sz="6"/>
        </w:pBdr>
        <w:spacing w:after="160" w:before="60"/>
      </w:pPr>
      <w:r>
        <w:rPr>
          <w:sz w:val="2"/>
          <w:szCs w:val="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false"/>
        </w:trPr>
        <w:tc>
          <w:tcPr>
            <w:tcW w:type="dxa" w:w="2400"/>
            <w:shd w:fill="F2EFE9" w:color="auto" w:val="clear"/>
            <w:tcMar>
              <w:top w:type="dxa" w:w="80"/>
              <w:left w:type="dxa" w:w="110"/>
              <w:bottom w:type="dxa" w:w="80"/>
              <w:right w:type="dxa" w:w="110"/>
            </w:tcMar>
          </w:tcPr>
          <w:p>
            <w:pPr>
              <w:spacing w:after="0" w:line="252"/>
            </w:pPr>
            <w:r>
              <w:rPr>
                <w:b/>
                <w:bCs/>
                <w:color w:val="1A1A1A"/>
                <w:sz w:val="18"/>
                <w:szCs w:val="18"/>
              </w:rPr>
              <w:t xml:space="preserve">Documento</w:t>
            </w:r>
          </w:p>
        </w:tc>
        <w:tc>
          <w:tcPr>
            <w:tcW w:type="dxa" w:w="66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Insumo de diagnóstico para consolidación del informe final</w:t>
            </w:r>
          </w:p>
        </w:tc>
      </w:tr>
      <w:tr>
        <w:trPr>
          <w:tblHeader w:val="false"/>
        </w:trPr>
        <w:tc>
          <w:tcPr>
            <w:tcW w:type="dxa" w:w="2400"/>
            <w:tcMar>
              <w:top w:type="dxa" w:w="80"/>
              <w:left w:type="dxa" w:w="110"/>
              <w:bottom w:type="dxa" w:w="80"/>
              <w:right w:type="dxa" w:w="110"/>
            </w:tcMar>
          </w:tcPr>
          <w:p>
            <w:pPr>
              <w:spacing w:after="0" w:line="252"/>
            </w:pPr>
            <w:r>
              <w:rPr>
                <w:b/>
                <w:bCs/>
                <w:color w:val="1A1A1A"/>
                <w:sz w:val="18"/>
                <w:szCs w:val="18"/>
              </w:rPr>
              <w:t xml:space="preserve">Aporte</w:t>
            </w:r>
          </w:p>
        </w:tc>
        <w:tc>
          <w:tcPr>
            <w:tcW w:type="dxa" w:w="6626"/>
            <w:tcMar>
              <w:top w:type="dxa" w:w="80"/>
              <w:left w:type="dxa" w:w="110"/>
              <w:bottom w:type="dxa" w:w="80"/>
              <w:right w:type="dxa" w:w="110"/>
            </w:tcMar>
          </w:tcPr>
          <w:p>
            <w:pPr>
              <w:spacing w:after="0" w:line="252"/>
            </w:pPr>
            <w:r>
              <w:rPr>
                <w:b w:val="false"/>
                <w:bCs w:val="false"/>
                <w:color w:val="1A1A1A"/>
                <w:sz w:val="18"/>
                <w:szCs w:val="18"/>
              </w:rPr>
              <w:t xml:space="preserve">Punto de fuga y monetización · problemática en tres preguntas · arquitectura de visibilidad · dashboard · hoja de ruta</w:t>
            </w:r>
          </w:p>
        </w:tc>
      </w:tr>
      <w:tr>
        <w:trPr>
          <w:tblHeader w:val="false"/>
        </w:trPr>
        <w:tc>
          <w:tcPr>
            <w:tcW w:type="dxa" w:w="2400"/>
            <w:shd w:fill="F2EFE9" w:color="auto" w:val="clear"/>
            <w:tcMar>
              <w:top w:type="dxa" w:w="80"/>
              <w:left w:type="dxa" w:w="110"/>
              <w:bottom w:type="dxa" w:w="80"/>
              <w:right w:type="dxa" w:w="110"/>
            </w:tcMar>
          </w:tcPr>
          <w:p>
            <w:pPr>
              <w:spacing w:after="0" w:line="252"/>
            </w:pPr>
            <w:r>
              <w:rPr>
                <w:b/>
                <w:bCs/>
                <w:color w:val="1A1A1A"/>
                <w:sz w:val="18"/>
                <w:szCs w:val="18"/>
              </w:rPr>
              <w:t xml:space="preserve">Responsable</w:t>
            </w:r>
          </w:p>
        </w:tc>
        <w:tc>
          <w:tcPr>
            <w:tcW w:type="dxa" w:w="66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Alianzas estratégicas y Dashboard centralizado</w:t>
            </w:r>
          </w:p>
        </w:tc>
      </w:tr>
      <w:tr>
        <w:trPr>
          <w:tblHeader w:val="false"/>
        </w:trPr>
        <w:tc>
          <w:tcPr>
            <w:tcW w:type="dxa" w:w="2400"/>
            <w:tcMar>
              <w:top w:type="dxa" w:w="80"/>
              <w:left w:type="dxa" w:w="110"/>
              <w:bottom w:type="dxa" w:w="80"/>
              <w:right w:type="dxa" w:w="110"/>
            </w:tcMar>
          </w:tcPr>
          <w:p>
            <w:pPr>
              <w:spacing w:after="0" w:line="252"/>
            </w:pPr>
            <w:r>
              <w:rPr>
                <w:b/>
                <w:bCs/>
                <w:color w:val="1A1A1A"/>
                <w:sz w:val="18"/>
                <w:szCs w:val="18"/>
              </w:rPr>
              <w:t xml:space="preserve">Destino</w:t>
            </w:r>
          </w:p>
        </w:tc>
        <w:tc>
          <w:tcPr>
            <w:tcW w:type="dxa" w:w="6626"/>
            <w:tcMar>
              <w:top w:type="dxa" w:w="80"/>
              <w:left w:type="dxa" w:w="110"/>
              <w:bottom w:type="dxa" w:w="80"/>
              <w:right w:type="dxa" w:w="110"/>
            </w:tcMar>
          </w:tcPr>
          <w:p>
            <w:pPr>
              <w:spacing w:after="0" w:line="252"/>
            </w:pPr>
            <w:r>
              <w:rPr>
                <w:b w:val="false"/>
                <w:bCs w:val="false"/>
                <w:color w:val="1A1A1A"/>
                <w:sz w:val="18"/>
                <w:szCs w:val="18"/>
              </w:rPr>
              <w:t xml:space="preserve">Consolidación a cargo de Andrea (competencia, trends y análisis macro)</w:t>
            </w:r>
          </w:p>
        </w:tc>
      </w:tr>
      <w:tr>
        <w:trPr>
          <w:tblHeader w:val="false"/>
        </w:trPr>
        <w:tc>
          <w:tcPr>
            <w:tcW w:type="dxa" w:w="2400"/>
            <w:shd w:fill="F2EFE9" w:color="auto" w:val="clear"/>
            <w:tcMar>
              <w:top w:type="dxa" w:w="80"/>
              <w:left w:type="dxa" w:w="110"/>
              <w:bottom w:type="dxa" w:w="80"/>
              <w:right w:type="dxa" w:w="110"/>
            </w:tcMar>
          </w:tcPr>
          <w:p>
            <w:pPr>
              <w:spacing w:after="0" w:line="252"/>
            </w:pPr>
            <w:r>
              <w:rPr>
                <w:b/>
                <w:bCs/>
                <w:color w:val="1A1A1A"/>
                <w:sz w:val="18"/>
                <w:szCs w:val="18"/>
              </w:rPr>
              <w:t xml:space="preserve">Base</w:t>
            </w:r>
          </w:p>
        </w:tc>
        <w:tc>
          <w:tcPr>
            <w:tcW w:type="dxa" w:w="66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Diagnóstico Integral, Diagnóstico Consolidado y análisis logístico del equipo (ago-2026), documento del desafío, kickoff grabado y retroalimentación docente</w:t>
            </w:r>
          </w:p>
        </w:tc>
      </w:tr>
    </w:tbl>
    <w:p>
      <w:r>
        <w:br w:type="page"/>
      </w:r>
    </w:p>
    <w:p>
      <w:pPr>
        <w:pStyle w:val="Heading1"/>
        <w:spacing w:after="160" w:before="360"/>
      </w:pPr>
      <w:r>
        <w:t xml:space="preserve">Nota para la consolidación</w:t>
      </w:r>
    </w:p>
    <w:p>
      <w:pPr>
        <w:spacing w:after="120" w:before="0" w:line="276"/>
      </w:pPr>
      <w:r>
        <w:rPr>
          <w:color w:val="1A1A1A"/>
          <w:sz w:val="20"/>
          <w:szCs w:val="20"/>
        </w:rPr>
        <w:t xml:space="preserve">Este documento no reemplaza el Diagnóstico Integral ni el Consolidado que ya tiene el equipo: los complementa con la capa que faltaba tras la retroalimentación docente. Aporta cuatro cosas que hoy no están en ninguno de los dos.</w:t>
      </w:r>
    </w:p>
    <w:p>
      <w:pPr>
        <w:pStyle w:val="ListParagraph"/>
        <w:numPr>
          <w:ilvl w:val="0"/>
          <w:numId w:val="2"/>
        </w:numPr>
        <w:spacing w:after="60" w:line="264"/>
      </w:pPr>
      <w:r>
        <w:rPr>
          <w:b/>
          <w:bCs/>
          <w:color w:val="1A1A1A"/>
          <w:sz w:val="20"/>
          <w:szCs w:val="20"/>
        </w:rPr>
        <w:t xml:space="preserve">Un punto de fuga declarado y monetizado. </w:t>
      </w:r>
      <w:r>
        <w:rPr>
          <w:color w:val="1A1A1A"/>
          <w:sz w:val="20"/>
          <w:szCs w:val="20"/>
        </w:rPr>
        <w:t xml:space="preserve">El diagnóstico tenía las fricciones mapeadas pero no había declarado dónde se pierde el negocio ni cuánto vale.</w:t>
      </w:r>
    </w:p>
    <w:p>
      <w:pPr>
        <w:pStyle w:val="ListParagraph"/>
        <w:numPr>
          <w:ilvl w:val="0"/>
          <w:numId w:val="2"/>
        </w:numPr>
        <w:spacing w:after="60" w:line="264"/>
      </w:pPr>
      <w:r>
        <w:rPr>
          <w:b/>
          <w:bCs/>
          <w:color w:val="1A1A1A"/>
          <w:sz w:val="20"/>
          <w:szCs w:val="20"/>
        </w:rPr>
        <w:t xml:space="preserve">La problemática redactada en el formato exigido: </w:t>
      </w:r>
      <w:r>
        <w:rPr>
          <w:color w:val="1A1A1A"/>
          <w:sz w:val="20"/>
          <w:szCs w:val="20"/>
        </w:rPr>
        <w:t xml:space="preserve">qué le pasa a la empresa, qué síntomas lo respaldan, cuál es la evidencia.</w:t>
      </w:r>
    </w:p>
    <w:p>
      <w:pPr>
        <w:pStyle w:val="ListParagraph"/>
        <w:numPr>
          <w:ilvl w:val="0"/>
          <w:numId w:val="2"/>
        </w:numPr>
        <w:spacing w:after="60" w:line="264"/>
      </w:pPr>
      <w:r>
        <w:rPr>
          <w:b/>
          <w:bCs/>
          <w:color w:val="1A1A1A"/>
          <w:sz w:val="20"/>
          <w:szCs w:val="20"/>
        </w:rPr>
        <w:t xml:space="preserve">La traducción del diagnóstico a etapas de funnel </w:t>
      </w:r>
      <w:r>
        <w:rPr>
          <w:color w:val="1A1A1A"/>
          <w:sz w:val="20"/>
          <w:szCs w:val="20"/>
        </w:rPr>
        <w:t xml:space="preserve">—consideración, conversión, fidelización— que es el marco con el que se evaluará la defensa.</w:t>
      </w:r>
    </w:p>
    <w:p>
      <w:pPr>
        <w:pStyle w:val="ListParagraph"/>
        <w:numPr>
          <w:ilvl w:val="0"/>
          <w:numId w:val="2"/>
        </w:numPr>
        <w:spacing w:after="60" w:line="264"/>
      </w:pPr>
      <w:r>
        <w:rPr>
          <w:b/>
          <w:bCs/>
          <w:color w:val="1A1A1A"/>
          <w:sz w:val="20"/>
          <w:szCs w:val="20"/>
        </w:rPr>
        <w:t xml:space="preserve">La arquitectura de visibilidad: </w:t>
      </w:r>
      <w:r>
        <w:rPr>
          <w:color w:val="1A1A1A"/>
          <w:sz w:val="20"/>
          <w:szCs w:val="20"/>
        </w:rPr>
        <w:t xml:space="preserve">cómo se obtiene la señal en cada tipo de cliente, qué muestra el tablero y a quién, y en qué orden se ejecuta.</w:t>
      </w:r>
    </w:p>
    <w:p>
      <w:pPr>
        <w:spacing w:after="120" w:before="80" w:line="276"/>
      </w:pPr>
      <w:r>
        <w:rPr>
          <w:color w:val="1A1A1A"/>
          <w:sz w:val="20"/>
          <w:szCs w:val="20"/>
        </w:rPr>
        <w:t xml:space="preserve">Las secciones 2, 3 y 4 son las que deben entrar íntegras al informe: son la respuesta directa a lo pedido. Las secciones 5 a 9 son la propuesta y pueden comprimirse según el espacio disponible. La sección 10 debe conservarse completa aunque se recorte: es la que sostiene la credibilidad del resto.</w:t>
      </w:r>
    </w:p>
    <w:p>
      <w:pPr>
        <w:spacing w:after="160" w:before="0" w:line="276"/>
      </w:pPr>
      <w:r>
        <w:rPr>
          <w:b/>
          <w:bCs/>
          <w:color w:val="A8482A"/>
          <w:sz w:val="17"/>
          <w:szCs w:val="17"/>
        </w:rPr>
        <w:t xml:space="preserve">Nota. </w:t>
      </w:r>
      <w:r>
        <w:rPr>
          <w:i/>
          <w:iCs/>
          <w:color w:val="595959"/>
          <w:sz w:val="17"/>
          <w:szCs w:val="17"/>
        </w:rPr>
        <w:t xml:space="preserve">El informe final tiene un límite de 18 hojas de contenido, con los análisis extensos en anexos hipervinculados. Este documento excede ese límite a propósito: está pensado para que se recorte, no para entregarse tal cual.</w:t>
      </w:r>
    </w:p>
    <w:p>
      <w:pPr>
        <w:pStyle w:val="Heading1"/>
        <w:spacing w:after="160" w:before="360"/>
      </w:pPr>
      <w:r>
        <w:t xml:space="preserve">1. Alcance y régimen de datos</w:t>
      </w:r>
    </w:p>
    <w:p>
      <w:pPr>
        <w:spacing w:after="120" w:before="0" w:line="276"/>
      </w:pPr>
      <w:r>
        <w:rPr>
          <w:color w:val="1A1A1A"/>
          <w:sz w:val="20"/>
          <w:szCs w:val="20"/>
        </w:rPr>
        <w:t xml:space="preserve">El objeto del diagnóstico no es el café ni la marca: es la red física de 3.390 puntos y 4.000 máquinas que Marley Coffee opera en Chile, y la relación comercial que sostiene esa red. El negocio food service concentra el 63% de las ventas de la compañía en el país y se compone de cuatro canales con puntos de partida distintos: Horeca, Office Coffee Service, estaciones de servicio y conveniencia, y panaderías.</w:t>
      </w:r>
    </w:p>
    <w:p>
      <w:pPr>
        <w:spacing w:after="120" w:before="0" w:line="276"/>
      </w:pPr>
      <w:r>
        <w:rPr>
          <w:color w:val="1A1A1A"/>
          <w:sz w:val="20"/>
          <w:szCs w:val="20"/>
        </w:rPr>
        <w:t xml:space="preserve">Toda afirmación de este documento va marcada según su origen. La distinción es exigible: el desafío pide separar dato público, supuesto académico y hallazgo propio, y el diseñador del caso agregó que los supuestos del equipo no pueden contradecir las cifras del documento oficial.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7926"/>
      </w:tblGrid>
      <w:tr>
        <w:trPr>
          <w:tblHeader/>
        </w:trPr>
        <w:tc>
          <w:tcPr>
            <w:tcW w:type="dxa" w:w="1100"/>
            <w:shd w:fill="2B2B2B" w:color="auto" w:val="clear"/>
            <w:tcMar>
              <w:top w:type="dxa" w:w="80"/>
              <w:left w:type="dxa" w:w="110"/>
              <w:bottom w:type="dxa" w:w="80"/>
              <w:right w:type="dxa" w:w="110"/>
            </w:tcMar>
          </w:tcPr>
          <w:p>
            <w:pPr>
              <w:spacing w:after="0" w:line="252"/>
            </w:pPr>
            <w:r>
              <w:rPr>
                <w:b/>
                <w:bCs/>
                <w:color w:val="FFFFFF"/>
                <w:sz w:val="16"/>
                <w:szCs w:val="16"/>
              </w:rPr>
              <w:t xml:space="preserve">Marca</w:t>
            </w:r>
          </w:p>
        </w:tc>
        <w:tc>
          <w:tcPr>
            <w:tcW w:type="dxa" w:w="7926"/>
            <w:shd w:fill="2B2B2B" w:color="auto" w:val="clear"/>
            <w:tcMar>
              <w:top w:type="dxa" w:w="80"/>
              <w:left w:type="dxa" w:w="110"/>
              <w:bottom w:type="dxa" w:w="80"/>
              <w:right w:type="dxa" w:w="110"/>
            </w:tcMar>
          </w:tcPr>
          <w:p>
            <w:pPr>
              <w:spacing w:after="0" w:line="252"/>
            </w:pPr>
            <w:r>
              <w:rPr>
                <w:b/>
                <w:bCs/>
                <w:color w:val="FFFFFF"/>
                <w:sz w:val="16"/>
                <w:szCs w:val="16"/>
              </w:rPr>
              <w:t xml:space="preserve">Qué significa</w:t>
            </w:r>
          </w:p>
        </w:tc>
      </w:tr>
      <w:tr>
        <w:trPr>
          <w:tblHeader w:val="false"/>
        </w:trPr>
        <w:tc>
          <w:tcPr>
            <w:tcW w:type="dxa" w:w="1100"/>
            <w:tcMar>
              <w:top w:type="dxa" w:w="80"/>
              <w:left w:type="dxa" w:w="110"/>
              <w:bottom w:type="dxa" w:w="80"/>
              <w:right w:type="dxa" w:w="110"/>
            </w:tcMar>
          </w:tcPr>
          <w:p>
            <w:pPr>
              <w:spacing w:after="0" w:line="252"/>
            </w:pPr>
            <w:r>
              <w:rPr>
                <w:b/>
                <w:bCs/>
                <w:color w:val="1A1A1A"/>
                <w:sz w:val="18"/>
                <w:szCs w:val="18"/>
              </w:rPr>
              <w:t xml:space="preserve">[C]</w:t>
            </w:r>
          </w:p>
        </w:tc>
        <w:tc>
          <w:tcPr>
            <w:tcW w:type="dxa" w:w="7926"/>
            <w:tcMar>
              <w:top w:type="dxa" w:w="80"/>
              <w:left w:type="dxa" w:w="110"/>
              <w:bottom w:type="dxa" w:w="80"/>
              <w:right w:type="dxa" w:w="110"/>
            </w:tcMar>
          </w:tcPr>
          <w:p>
            <w:pPr>
              <w:spacing w:after="0" w:line="252"/>
            </w:pPr>
            <w:r>
              <w:rPr>
                <w:b w:val="false"/>
                <w:bCs w:val="false"/>
                <w:color w:val="1A1A1A"/>
                <w:sz w:val="18"/>
                <w:szCs w:val="18"/>
              </w:rPr>
              <w:t xml:space="preserve">Dato del caso. Cifras y condiciones del documento del desafío y del kickoff grabado. Son supuestos académicos declarados, no desempeño real de Marley Coffee, y no deben citarse como información real de la empresa.</w:t>
            </w:r>
          </w:p>
        </w:tc>
      </w:tr>
      <w:tr>
        <w:trPr>
          <w:tblHeader w:val="false"/>
        </w:trPr>
        <w:tc>
          <w:tcPr>
            <w:tcW w:type="dxa" w:w="1100"/>
            <w:shd w:fill="F2EFE9" w:color="auto" w:val="clear"/>
            <w:tcMar>
              <w:top w:type="dxa" w:w="80"/>
              <w:left w:type="dxa" w:w="110"/>
              <w:bottom w:type="dxa" w:w="80"/>
              <w:right w:type="dxa" w:w="110"/>
            </w:tcMar>
          </w:tcPr>
          <w:p>
            <w:pPr>
              <w:spacing w:after="0" w:line="252"/>
            </w:pPr>
            <w:r>
              <w:rPr>
                <w:b/>
                <w:bCs/>
                <w:color w:val="1A1A1A"/>
                <w:sz w:val="18"/>
                <w:szCs w:val="18"/>
              </w:rPr>
              <w:t xml:space="preserve">[P]</w:t>
            </w:r>
          </w:p>
        </w:tc>
        <w:tc>
          <w:tcPr>
            <w:tcW w:type="dxa" w:w="7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Dato externo público y verificable: FNE (agosto 2025), WITS/UN Comtrade, CORPA, INE, Banco Central, Organización Internacional del Café, GPS Property, SII, documentación técnica de proveedores.</w:t>
            </w:r>
          </w:p>
        </w:tc>
      </w:tr>
      <w:tr>
        <w:trPr>
          <w:tblHeader w:val="false"/>
        </w:trPr>
        <w:tc>
          <w:tcPr>
            <w:tcW w:type="dxa" w:w="1100"/>
            <w:tcMar>
              <w:top w:type="dxa" w:w="80"/>
              <w:left w:type="dxa" w:w="110"/>
              <w:bottom w:type="dxa" w:w="80"/>
              <w:right w:type="dxa" w:w="110"/>
            </w:tcMar>
          </w:tcPr>
          <w:p>
            <w:pPr>
              <w:spacing w:after="0" w:line="252"/>
            </w:pPr>
            <w:r>
              <w:rPr>
                <w:b/>
                <w:bCs/>
                <w:color w:val="1A1A1A"/>
                <w:sz w:val="18"/>
                <w:szCs w:val="18"/>
              </w:rPr>
              <w:t xml:space="preserve">[D]</w:t>
            </w:r>
          </w:p>
        </w:tc>
        <w:tc>
          <w:tcPr>
            <w:tcW w:type="dxa" w:w="7926"/>
            <w:tcMar>
              <w:top w:type="dxa" w:w="80"/>
              <w:left w:type="dxa" w:w="110"/>
              <w:bottom w:type="dxa" w:w="80"/>
              <w:right w:type="dxa" w:w="110"/>
            </w:tcMar>
          </w:tcPr>
          <w:p>
            <w:pPr>
              <w:spacing w:after="0" w:line="252"/>
            </w:pPr>
            <w:r>
              <w:rPr>
                <w:b w:val="false"/>
                <w:bCs w:val="false"/>
                <w:color w:val="1A1A1A"/>
                <w:sz w:val="18"/>
                <w:szCs w:val="18"/>
              </w:rPr>
              <w:t xml:space="preserve">Derivación propia. Cálculo del equipo sobre datos [C] o [P], con la fórmula y el supuesto explícitos.</w:t>
            </w:r>
          </w:p>
        </w:tc>
      </w:tr>
      <w:tr>
        <w:trPr>
          <w:tblHeader w:val="false"/>
        </w:trPr>
        <w:tc>
          <w:tcPr>
            <w:tcW w:type="dxa" w:w="1100"/>
            <w:shd w:fill="F2EFE9" w:color="auto" w:val="clear"/>
            <w:tcMar>
              <w:top w:type="dxa" w:w="80"/>
              <w:left w:type="dxa" w:w="110"/>
              <w:bottom w:type="dxa" w:w="80"/>
              <w:right w:type="dxa" w:w="110"/>
            </w:tcMar>
          </w:tcPr>
          <w:p>
            <w:pPr>
              <w:spacing w:after="0" w:line="252"/>
            </w:pPr>
            <w:r>
              <w:rPr>
                <w:b/>
                <w:bCs/>
                <w:color w:val="1A1A1A"/>
                <w:sz w:val="18"/>
                <w:szCs w:val="18"/>
              </w:rPr>
              <w:t xml:space="preserve">[EV]</w:t>
            </w:r>
          </w:p>
        </w:tc>
        <w:tc>
          <w:tcPr>
            <w:tcW w:type="dxa" w:w="7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Social listening exploratorio propio, agosto 2026: 109 registros, de los cuales 66 son voz orgánica de personas.</w:t>
            </w:r>
          </w:p>
        </w:tc>
      </w:tr>
      <w:tr>
        <w:trPr>
          <w:tblHeader w:val="false"/>
        </w:trPr>
        <w:tc>
          <w:tcPr>
            <w:tcW w:type="dxa" w:w="1100"/>
            <w:tcMar>
              <w:top w:type="dxa" w:w="80"/>
              <w:left w:type="dxa" w:w="110"/>
              <w:bottom w:type="dxa" w:w="80"/>
              <w:right w:type="dxa" w:w="110"/>
            </w:tcMar>
          </w:tcPr>
          <w:p>
            <w:pPr>
              <w:spacing w:after="0" w:line="252"/>
            </w:pPr>
            <w:r>
              <w:rPr>
                <w:b/>
                <w:bCs/>
                <w:color w:val="1A1A1A"/>
                <w:sz w:val="18"/>
                <w:szCs w:val="18"/>
              </w:rPr>
              <w:t xml:space="preserve">[H]</w:t>
            </w:r>
          </w:p>
        </w:tc>
        <w:tc>
          <w:tcPr>
            <w:tcW w:type="dxa" w:w="7926"/>
            <w:tcMar>
              <w:top w:type="dxa" w:w="80"/>
              <w:left w:type="dxa" w:w="110"/>
              <w:bottom w:type="dxa" w:w="80"/>
              <w:right w:type="dxa" w:w="110"/>
            </w:tcMar>
          </w:tcPr>
          <w:p>
            <w:pPr>
              <w:spacing w:after="0" w:line="252"/>
            </w:pPr>
            <w:r>
              <w:rPr>
                <w:b w:val="false"/>
                <w:bCs w:val="false"/>
                <w:color w:val="1A1A1A"/>
                <w:sz w:val="18"/>
                <w:szCs w:val="18"/>
              </w:rPr>
              <w:t xml:space="preserve">Hipótesis del equipo. No confirmada; requiere levantamiento primario.</w:t>
            </w:r>
          </w:p>
        </w:tc>
      </w:tr>
    </w:tbl>
    <w:p>
      <w:pPr>
        <w:spacing w:after="160" w:before="0" w:line="276"/>
      </w:pPr>
      <w:r>
        <w:rPr>
          <w:b/>
          <w:bCs/>
          <w:color w:val="A8482A"/>
          <w:sz w:val="17"/>
          <w:szCs w:val="17"/>
        </w:rPr>
        <w:t xml:space="preserve">Nota. </w:t>
      </w:r>
      <w:r>
        <w:rPr>
          <w:i/>
          <w:iCs/>
          <w:color w:val="595959"/>
          <w:sz w:val="17"/>
          <w:szCs w:val="17"/>
        </w:rPr>
        <w:t xml:space="preserve">Ninguna cifra marcada [C] se contradice en este documento. Donde el equipo cuestiona un dato del caso, lo hace con aritmética explícita y sin reemplazar el original.</w:t>
      </w:r>
    </w:p>
    <w:p>
      <w:r>
        <w:br w:type="page"/>
      </w:r>
    </w:p>
    <w:p>
      <w:pPr>
        <w:pStyle w:val="Heading1"/>
        <w:spacing w:after="160" w:before="360"/>
      </w:pPr>
      <w:r>
        <w:t xml:space="preserve">2. La problemática</w:t>
      </w:r>
    </w:p>
    <w:p>
      <w:pPr>
        <w:spacing w:after="120" w:before="0" w:line="276"/>
      </w:pPr>
      <w:r>
        <w:rPr>
          <w:color w:val="1A1A1A"/>
          <w:sz w:val="20"/>
          <w:szCs w:val="20"/>
        </w:rPr>
        <w:t xml:space="preserve">La redacción responde las tres preguntas exigidas: qué le pasa a la empresa, qué sintomatologías lo respaldan y cuál es la evidencia que lo sustenta.</w:t>
      </w:r>
    </w:p>
    <w:p>
      <w:pPr>
        <w:pStyle w:val="Heading2"/>
        <w:spacing w:after="120" w:before="280"/>
      </w:pPr>
      <w:r>
        <w:t xml:space="preserve">2.1 ¿Qué le pasa a la empresa?</w:t>
      </w:r>
    </w:p>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4"/>
          <w:szCs w:val="24"/>
        </w:rPr>
        <w:t xml:space="preserve">Marley Coffee no retiene a sus clientes: los reconquista.
</w:t>
      </w:r>
    </w:p>
    <w:p>
      <w:pPr>
        <w:spacing w:after="120" w:before="0" w:line="276"/>
      </w:pPr>
      <w:r>
        <w:rPr>
          <w:color w:val="1A1A1A"/>
          <w:sz w:val="20"/>
          <w:szCs w:val="20"/>
        </w:rPr>
        <w:t xml:space="preserve">En el canal que concentra el 36% de sus ventas, cada reposición obliga al cliente a reiniciar el proceso de compra, y ese proceso ocurre fuera de todo sistema. Eso convierte cada pedido en una oportunidad de fuga y hace que la empresa pierda cerca del 10% de su negocio food service al año por no-recompra, de modo que el 45% de su esfuerzo comercial se consume reponiendo lo que se le escapa por atrás.</w:t>
      </w:r>
    </w:p>
    <w:p>
      <w:pPr>
        <w:spacing w:after="120" w:before="0" w:line="276"/>
      </w:pPr>
      <w:r>
        <w:rPr>
          <w:color w:val="1A1A1A"/>
          <w:sz w:val="20"/>
          <w:szCs w:val="20"/>
        </w:rPr>
        <w:t xml:space="preserve">La causa no es la calidad del café ni la del servicio: es que la operación no genera datos en el punto de contacto. Sin identidad única de cliente, punto y máquina, Marley no puede anticipar la reposición, no puede atribuir la pérdida a un canal ni a una causa, y no puede diferenciar su propuesta de valor entre canales que son distintos entre sí.</w:t>
      </w:r>
    </w:p>
    <w:p>
      <w:pPr>
        <w:pStyle w:val="Heading2"/>
        <w:spacing w:after="120" w:before="280"/>
      </w:pPr>
      <w:r>
        <w:t xml:space="preserve">2.2 ¿Qué sintomatologías lo respaldan?</w:t>
      </w:r>
    </w:p>
    <w:p>
      <w:pPr>
        <w:spacing w:after="120" w:before="0" w:line="276"/>
      </w:pPr>
      <w:r>
        <w:rPr>
          <w:color w:val="1A1A1A"/>
          <w:sz w:val="20"/>
          <w:szCs w:val="20"/>
        </w:rPr>
        <w:t xml:space="preserve">Los síntomas se agrupan por etapa del funnel y se asocian a la causa que los explica. La agrupación es lo que revela la causalidad: los diecisiete síntomas de la tabla no son diecisiete problemas.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5326"/>
        <w:gridCol w:w="2200"/>
      </w:tblGrid>
      <w:tr>
        <w:trPr>
          <w:tblHeader/>
        </w:trPr>
        <w:tc>
          <w:tcPr>
            <w:tcW w:type="dxa" w:w="1500"/>
            <w:shd w:fill="2B2B2B" w:color="auto" w:val="clear"/>
            <w:tcMar>
              <w:top w:type="dxa" w:w="80"/>
              <w:left w:type="dxa" w:w="110"/>
              <w:bottom w:type="dxa" w:w="80"/>
              <w:right w:type="dxa" w:w="110"/>
            </w:tcMar>
          </w:tcPr>
          <w:p>
            <w:pPr>
              <w:spacing w:after="0" w:line="252"/>
            </w:pPr>
            <w:r>
              <w:rPr>
                <w:b/>
                <w:bCs/>
                <w:color w:val="FFFFFF"/>
                <w:sz w:val="16"/>
                <w:szCs w:val="16"/>
              </w:rPr>
              <w:t xml:space="preserve">Etapa</w:t>
            </w:r>
          </w:p>
        </w:tc>
        <w:tc>
          <w:tcPr>
            <w:tcW w:type="dxa" w:w="5326"/>
            <w:shd w:fill="2B2B2B" w:color="auto" w:val="clear"/>
            <w:tcMar>
              <w:top w:type="dxa" w:w="80"/>
              <w:left w:type="dxa" w:w="110"/>
              <w:bottom w:type="dxa" w:w="80"/>
              <w:right w:type="dxa" w:w="110"/>
            </w:tcMar>
          </w:tcPr>
          <w:p>
            <w:pPr>
              <w:spacing w:after="0" w:line="252"/>
            </w:pPr>
            <w:r>
              <w:rPr>
                <w:b/>
                <w:bCs/>
                <w:color w:val="FFFFFF"/>
                <w:sz w:val="16"/>
                <w:szCs w:val="16"/>
              </w:rPr>
              <w:t xml:space="preserve">Sintomatología observable</w:t>
            </w:r>
          </w:p>
        </w:tc>
        <w:tc>
          <w:tcPr>
            <w:tcW w:type="dxa" w:w="2200"/>
            <w:shd w:fill="2B2B2B" w:color="auto" w:val="clear"/>
            <w:tcMar>
              <w:top w:type="dxa" w:w="80"/>
              <w:left w:type="dxa" w:w="110"/>
              <w:bottom w:type="dxa" w:w="80"/>
              <w:right w:type="dxa" w:w="110"/>
            </w:tcMar>
          </w:tcPr>
          <w:p>
            <w:pPr>
              <w:spacing w:after="0" w:line="252"/>
            </w:pPr>
            <w:r>
              <w:rPr>
                <w:b/>
                <w:bCs/>
                <w:color w:val="FFFFFF"/>
                <w:sz w:val="16"/>
                <w:szCs w:val="16"/>
              </w:rPr>
              <w:t xml:space="preserve">Causa que la explica</w:t>
            </w:r>
          </w:p>
        </w:tc>
      </w:tr>
      <w:tr>
        <w:trPr>
          <w:tblHeader w:val="false"/>
        </w:trPr>
        <w:tc>
          <w:tcPr>
            <w:tcW w:type="dxa" w:w="1500"/>
            <w:tcMar>
              <w:top w:type="dxa" w:w="80"/>
              <w:left w:type="dxa" w:w="110"/>
              <w:bottom w:type="dxa" w:w="80"/>
              <w:right w:type="dxa" w:w="110"/>
            </w:tcMar>
          </w:tcPr>
          <w:p>
            <w:pPr>
              <w:spacing w:after="0" w:line="252"/>
            </w:pPr>
            <w:r>
              <w:rPr>
                <w:b/>
                <w:bCs/>
                <w:color w:val="1A1A1A"/>
                <w:sz w:val="18"/>
                <w:szCs w:val="18"/>
              </w:rPr>
              <w:t xml:space="preserve">Consideración</w:t>
            </w:r>
          </w:p>
        </w:tc>
        <w:tc>
          <w:tcPr>
            <w:tcW w:type="dxa" w:w="5326"/>
            <w:tcMar>
              <w:top w:type="dxa" w:w="80"/>
              <w:left w:type="dxa" w:w="110"/>
              <w:bottom w:type="dxa" w:w="80"/>
              <w:right w:type="dxa" w:w="110"/>
            </w:tcMar>
          </w:tcPr>
          <w:p>
            <w:pPr>
              <w:spacing w:after="0" w:line="252"/>
            </w:pPr>
            <w:r>
              <w:rPr>
                <w:b w:val="false"/>
                <w:bCs w:val="false"/>
                <w:color w:val="1A1A1A"/>
                <w:sz w:val="18"/>
                <w:szCs w:val="18"/>
              </w:rPr>
              <w:t xml:space="preserve">Única puerta de entrada es un formulario web manual · interés digital de marca estancado desde 2023 · los cuatro canales reciben la misma propuesta · campañas concentradas en conversión, sin construir valor de marca</w:t>
            </w:r>
          </w:p>
        </w:tc>
        <w:tc>
          <w:tcPr>
            <w:tcW w:type="dxa" w:w="2200"/>
            <w:tcMar>
              <w:top w:type="dxa" w:w="80"/>
              <w:left w:type="dxa" w:w="110"/>
              <w:bottom w:type="dxa" w:w="80"/>
              <w:right w:type="dxa" w:w="110"/>
            </w:tcMar>
          </w:tcPr>
          <w:p>
            <w:pPr>
              <w:spacing w:after="0" w:line="252"/>
            </w:pPr>
            <w:r>
              <w:rPr>
                <w:b w:val="false"/>
                <w:bCs w:val="false"/>
                <w:color w:val="1A1A1A"/>
                <w:sz w:val="18"/>
                <w:szCs w:val="18"/>
              </w:rPr>
              <w:t xml:space="preserve">Sin captación gestionable (CR5) y sin dato para diferenciar por canal (CR1)</w:t>
            </w:r>
          </w:p>
        </w:tc>
      </w:tr>
      <w:tr>
        <w:trPr>
          <w:tblHeader w:val="false"/>
        </w:trPr>
        <w:tc>
          <w:tcPr>
            <w:tcW w:type="dxa" w:w="1500"/>
            <w:shd w:fill="F2EFE9" w:color="auto" w:val="clear"/>
            <w:tcMar>
              <w:top w:type="dxa" w:w="80"/>
              <w:left w:type="dxa" w:w="110"/>
              <w:bottom w:type="dxa" w:w="80"/>
              <w:right w:type="dxa" w:w="110"/>
            </w:tcMar>
          </w:tcPr>
          <w:p>
            <w:pPr>
              <w:spacing w:after="0" w:line="252"/>
            </w:pPr>
            <w:r>
              <w:rPr>
                <w:b/>
                <w:bCs/>
                <w:color w:val="1A1A1A"/>
                <w:sz w:val="18"/>
                <w:szCs w:val="18"/>
              </w:rPr>
              <w:t xml:space="preserve">Conversión</w:t>
            </w:r>
          </w:p>
        </w:tc>
        <w:tc>
          <w:tcPr>
            <w:tcW w:type="dxa" w:w="53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Conversión lead a cliente de 12% · sin volumen base de leads ni definición de lead calificado · un solo rol comercial para 3.390 puntos · la cuenta nace sin identidad de punto, con ficha completa en 26% de los registros</w:t>
            </w:r>
          </w:p>
        </w:tc>
        <w:tc>
          <w:tcPr>
            <w:tcW w:type="dxa" w:w="22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Ruptura de origen: la identidad no se asigna en el alta (CR1)</w:t>
            </w:r>
          </w:p>
        </w:tc>
      </w:tr>
      <w:tr>
        <w:trPr>
          <w:tblHeader w:val="false"/>
        </w:trPr>
        <w:tc>
          <w:tcPr>
            <w:tcW w:type="dxa" w:w="1500"/>
            <w:tcMar>
              <w:top w:type="dxa" w:w="80"/>
              <w:left w:type="dxa" w:w="110"/>
              <w:bottom w:type="dxa" w:w="80"/>
              <w:right w:type="dxa" w:w="110"/>
            </w:tcMar>
          </w:tcPr>
          <w:p>
            <w:pPr>
              <w:spacing w:after="0" w:line="252"/>
            </w:pPr>
            <w:r>
              <w:rPr>
                <w:b/>
                <w:bCs/>
                <w:color w:val="1A1A1A"/>
                <w:sz w:val="18"/>
                <w:szCs w:val="18"/>
              </w:rPr>
              <w:t xml:space="preserve">Fidelización</w:t>
            </w:r>
          </w:p>
        </w:tc>
        <w:tc>
          <w:tcPr>
            <w:tcW w:type="dxa" w:w="5326"/>
            <w:tcMar>
              <w:top w:type="dxa" w:w="80"/>
              <w:left w:type="dxa" w:w="110"/>
              <w:bottom w:type="dxa" w:w="80"/>
              <w:right w:type="dxa" w:w="110"/>
            </w:tcMar>
          </w:tcPr>
          <w:p>
            <w:pPr>
              <w:spacing w:after="0" w:line="252"/>
            </w:pPr>
            <w:r>
              <w:rPr>
                <w:b w:val="false"/>
                <w:bCs w:val="false"/>
                <w:color w:val="1A1A1A"/>
                <w:sz w:val="18"/>
                <w:szCs w:val="18"/>
              </w:rPr>
              <w:t xml:space="preserve">82% de reposiciones gestionadas por ejecutivo, correo o mensajería · sin visibilidad del estado del pedido · OTIF 92% · 2,8 reclamos por cada 100 pedidos · quiebres en 6,8% de los puntos OCS al mes · 31 h de primera respuesta técnica · retención 86–90% y dos canales sin dato</w:t>
            </w:r>
          </w:p>
        </w:tc>
        <w:tc>
          <w:tcPr>
            <w:tcW w:type="dxa" w:w="2200"/>
            <w:tcMar>
              <w:top w:type="dxa" w:w="80"/>
              <w:left w:type="dxa" w:w="110"/>
              <w:bottom w:type="dxa" w:w="80"/>
              <w:right w:type="dxa" w:w="110"/>
            </w:tcMar>
          </w:tcPr>
          <w:p>
            <w:pPr>
              <w:spacing w:after="0" w:line="252"/>
            </w:pPr>
            <w:r>
              <w:rPr>
                <w:b w:val="false"/>
                <w:bCs w:val="false"/>
                <w:color w:val="1A1A1A"/>
                <w:sz w:val="18"/>
                <w:szCs w:val="18"/>
              </w:rPr>
              <w:t xml:space="preserve">La interacción de mayor frecuencia no está digitalizada (CR2) y no hay señal de consumo en el punto (CR3)</w:t>
            </w:r>
          </w:p>
        </w:tc>
      </w:tr>
      <w:tr>
        <w:trPr>
          <w:tblHeader w:val="false"/>
        </w:trPr>
        <w:tc>
          <w:tcPr>
            <w:tcW w:type="dxa" w:w="1500"/>
            <w:shd w:fill="F2EFE9" w:color="auto" w:val="clear"/>
            <w:tcMar>
              <w:top w:type="dxa" w:w="80"/>
              <w:left w:type="dxa" w:w="110"/>
              <w:bottom w:type="dxa" w:w="80"/>
              <w:right w:type="dxa" w:w="110"/>
            </w:tcMar>
          </w:tcPr>
          <w:p>
            <w:pPr>
              <w:spacing w:after="0" w:line="252"/>
            </w:pPr>
            <w:r>
              <w:rPr>
                <w:b/>
                <w:bCs/>
                <w:color w:val="1A1A1A"/>
                <w:sz w:val="18"/>
                <w:szCs w:val="18"/>
              </w:rPr>
              <w:t xml:space="preserve">Transversal</w:t>
            </w:r>
          </w:p>
        </w:tc>
        <w:tc>
          <w:tcPr>
            <w:tcW w:type="dxa" w:w="53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840 puntos con dato mensual, agregado o inexistente · cumplimiento de estándares de preparación de 76% en panaderías · NPS de 34 a 46 sin sistema de medición unificado</w:t>
            </w:r>
          </w:p>
        </w:tc>
        <w:tc>
          <w:tcPr>
            <w:tcW w:type="dxa" w:w="22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La relación con terceros no está gobernada en datos ni en estándares (CR4)</w:t>
            </w:r>
          </w:p>
        </w:tc>
      </w:tr>
    </w:tbl>
    <w:p>
      <w:pPr>
        <w:spacing w:after="120" w:before="100" w:line="276"/>
      </w:pPr>
      <w:r>
        <w:rPr>
          <w:color w:val="1A1A1A"/>
          <w:sz w:val="20"/>
          <w:szCs w:val="20"/>
        </w:rPr>
        <w:t xml:space="preserve">Aplicando el principio de Pareto: resolver la identidad y la señal en el punto de contacto explica el comportamiento de la mayoría de los síntomas listados. Es la causa que concentra el efecto, y por lo tanto donde debe intervenirse primero.</w:t>
      </w:r>
    </w:p>
    <w:p>
      <w:pPr>
        <w:pStyle w:val="Heading2"/>
        <w:spacing w:after="120" w:before="280"/>
      </w:pPr>
      <w:r>
        <w:t xml:space="preserve">2.3 ¿Cuál es la evidencia?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400"/>
        <w:gridCol w:w="4326"/>
      </w:tblGrid>
      <w:tr>
        <w:trPr>
          <w:tblHeader/>
        </w:trPr>
        <w:tc>
          <w:tcPr>
            <w:tcW w:type="dxa" w:w="1300"/>
            <w:shd w:fill="2B2B2B" w:color="auto" w:val="clear"/>
            <w:tcMar>
              <w:top w:type="dxa" w:w="80"/>
              <w:left w:type="dxa" w:w="110"/>
              <w:bottom w:type="dxa" w:w="80"/>
              <w:right w:type="dxa" w:w="110"/>
            </w:tcMar>
          </w:tcPr>
          <w:p>
            <w:pPr>
              <w:spacing w:after="0" w:line="252"/>
            </w:pPr>
            <w:r>
              <w:rPr>
                <w:b/>
                <w:bCs/>
                <w:color w:val="FFFFFF"/>
                <w:sz w:val="16"/>
                <w:szCs w:val="16"/>
              </w:rPr>
              <w:t xml:space="preserve">Tipo</w:t>
            </w:r>
          </w:p>
        </w:tc>
        <w:tc>
          <w:tcPr>
            <w:tcW w:type="dxa" w:w="3400"/>
            <w:shd w:fill="2B2B2B" w:color="auto" w:val="clear"/>
            <w:tcMar>
              <w:top w:type="dxa" w:w="80"/>
              <w:left w:type="dxa" w:w="110"/>
              <w:bottom w:type="dxa" w:w="80"/>
              <w:right w:type="dxa" w:w="110"/>
            </w:tcMar>
          </w:tcPr>
          <w:p>
            <w:pPr>
              <w:spacing w:after="0" w:line="252"/>
            </w:pPr>
            <w:r>
              <w:rPr>
                <w:b/>
                <w:bCs/>
                <w:color w:val="FFFFFF"/>
                <w:sz w:val="16"/>
                <w:szCs w:val="16"/>
              </w:rPr>
              <w:t xml:space="preserve">Fuente</w:t>
            </w:r>
          </w:p>
        </w:tc>
        <w:tc>
          <w:tcPr>
            <w:tcW w:type="dxa" w:w="4326"/>
            <w:shd w:fill="2B2B2B" w:color="auto" w:val="clear"/>
            <w:tcMar>
              <w:top w:type="dxa" w:w="80"/>
              <w:left w:type="dxa" w:w="110"/>
              <w:bottom w:type="dxa" w:w="80"/>
              <w:right w:type="dxa" w:w="110"/>
            </w:tcMar>
          </w:tcPr>
          <w:p>
            <w:pPr>
              <w:spacing w:after="0" w:line="252"/>
            </w:pPr>
            <w:r>
              <w:rPr>
                <w:b/>
                <w:bCs/>
                <w:color w:val="FFFFFF"/>
                <w:sz w:val="16"/>
                <w:szCs w:val="16"/>
              </w:rPr>
              <w:t xml:space="preserve">Qué sostiene</w:t>
            </w:r>
          </w:p>
        </w:tc>
      </w:tr>
      <w:tr>
        <w:trPr>
          <w:tblHeader w:val="false"/>
        </w:trPr>
        <w:tc>
          <w:tcPr>
            <w:tcW w:type="dxa" w:w="1300"/>
            <w:tcMar>
              <w:top w:type="dxa" w:w="80"/>
              <w:left w:type="dxa" w:w="110"/>
              <w:bottom w:type="dxa" w:w="80"/>
              <w:right w:type="dxa" w:w="110"/>
            </w:tcMar>
          </w:tcPr>
          <w:p>
            <w:pPr>
              <w:spacing w:after="0" w:line="252"/>
            </w:pPr>
            <w:r>
              <w:rPr>
                <w:b/>
                <w:bCs/>
                <w:color w:val="1A1A1A"/>
                <w:sz w:val="18"/>
                <w:szCs w:val="18"/>
              </w:rPr>
              <w:t xml:space="preserve">[C]</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Documento del desafío y kickoff grabado</w:t>
            </w:r>
          </w:p>
        </w:tc>
        <w:tc>
          <w:tcPr>
            <w:tcW w:type="dxa" w:w="4326"/>
            <w:tcMar>
              <w:top w:type="dxa" w:w="80"/>
              <w:left w:type="dxa" w:w="110"/>
              <w:bottom w:type="dxa" w:w="80"/>
              <w:right w:type="dxa" w:w="110"/>
            </w:tcMar>
          </w:tcPr>
          <w:p>
            <w:pPr>
              <w:spacing w:after="0" w:line="252"/>
            </w:pPr>
            <w:r>
              <w:rPr>
                <w:b w:val="false"/>
                <w:bCs w:val="false"/>
                <w:color w:val="1A1A1A"/>
                <w:sz w:val="18"/>
                <w:szCs w:val="18"/>
              </w:rPr>
              <w:t xml:space="preserve">Líneas base por canal, metas a doce meses, restricciones de implementación y estado tecnológico de partida</w:t>
            </w:r>
          </w:p>
        </w:tc>
      </w:tr>
      <w:tr>
        <w:trPr>
          <w:tblHeader w:val="false"/>
        </w:trPr>
        <w:tc>
          <w:tcPr>
            <w:tcW w:type="dxa" w:w="1300"/>
            <w:shd w:fill="F2EFE9" w:color="auto" w:val="clear"/>
            <w:tcMar>
              <w:top w:type="dxa" w:w="80"/>
              <w:left w:type="dxa" w:w="110"/>
              <w:bottom w:type="dxa" w:w="80"/>
              <w:right w:type="dxa" w:w="110"/>
            </w:tcMar>
          </w:tcPr>
          <w:p>
            <w:pPr>
              <w:spacing w:after="0" w:line="252"/>
            </w:pPr>
            <w:r>
              <w:rPr>
                <w:b/>
                <w:bCs/>
                <w:color w:val="1A1A1A"/>
                <w:sz w:val="18"/>
                <w:szCs w:val="18"/>
              </w:rPr>
              <w:t xml:space="preserve">[P]</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FNE agosto 2025 · WITS/UN Comtrade · CORPA · INE · Banco Central · OIC · GPS Property</w:t>
            </w:r>
          </w:p>
        </w:tc>
        <w:tc>
          <w:tcPr>
            <w:tcW w:type="dxa" w:w="43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Participaciones por submercado, contexto competitivo, importaciones y hábitos de consumo</w:t>
            </w:r>
          </w:p>
        </w:tc>
      </w:tr>
      <w:tr>
        <w:trPr>
          <w:tblHeader w:val="false"/>
        </w:trPr>
        <w:tc>
          <w:tcPr>
            <w:tcW w:type="dxa" w:w="1300"/>
            <w:tcMar>
              <w:top w:type="dxa" w:w="80"/>
              <w:left w:type="dxa" w:w="110"/>
              <w:bottom w:type="dxa" w:w="80"/>
              <w:right w:type="dxa" w:w="110"/>
            </w:tcMar>
          </w:tcPr>
          <w:p>
            <w:pPr>
              <w:spacing w:after="0" w:line="252"/>
            </w:pPr>
            <w:r>
              <w:rPr>
                <w:b/>
                <w:bCs/>
                <w:color w:val="1A1A1A"/>
                <w:sz w:val="18"/>
                <w:szCs w:val="18"/>
              </w:rPr>
              <w:t xml:space="preserve">[P]</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38 archivos CSV de Google Trends, 262 semanas (ago-2021 a ago-2026), análisis propio del equipo</w:t>
            </w:r>
          </w:p>
        </w:tc>
        <w:tc>
          <w:tcPr>
            <w:tcW w:type="dxa" w:w="4326"/>
            <w:tcMar>
              <w:top w:type="dxa" w:w="80"/>
              <w:left w:type="dxa" w:w="110"/>
              <w:bottom w:type="dxa" w:w="80"/>
              <w:right w:type="dxa" w:w="110"/>
            </w:tcMar>
          </w:tcPr>
          <w:p>
            <w:pPr>
              <w:spacing w:after="0" w:line="252"/>
            </w:pPr>
            <w:r>
              <w:rPr>
                <w:b w:val="false"/>
                <w:bCs w:val="false"/>
                <w:color w:val="1A1A1A"/>
                <w:sz w:val="18"/>
                <w:szCs w:val="18"/>
              </w:rPr>
              <w:t xml:space="preserve">Interés de marca estancado desde 2023; la demanda B2B se formula como “negocio”, “profesional” e “industrial”, no como “empresa”</w:t>
            </w:r>
          </w:p>
        </w:tc>
      </w:tr>
      <w:tr>
        <w:trPr>
          <w:tblHeader w:val="false"/>
        </w:trPr>
        <w:tc>
          <w:tcPr>
            <w:tcW w:type="dxa" w:w="1300"/>
            <w:shd w:fill="F2EFE9" w:color="auto" w:val="clear"/>
            <w:tcMar>
              <w:top w:type="dxa" w:w="80"/>
              <w:left w:type="dxa" w:w="110"/>
              <w:bottom w:type="dxa" w:w="80"/>
              <w:right w:type="dxa" w:w="110"/>
            </w:tcMar>
          </w:tcPr>
          <w:p>
            <w:pPr>
              <w:spacing w:after="0" w:line="252"/>
            </w:pPr>
            <w:r>
              <w:rPr>
                <w:b/>
                <w:bCs/>
                <w:color w:val="1A1A1A"/>
                <w:sz w:val="18"/>
                <w:szCs w:val="18"/>
              </w:rPr>
              <w:t xml:space="preserve">[EV]</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Social listening exploratorio propio, agosto 2026</w:t>
            </w:r>
          </w:p>
        </w:tc>
        <w:tc>
          <w:tcPr>
            <w:tcW w:type="dxa" w:w="43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13 menciones de quiebres de disponibilidad y máquinas fuera de servicio en el canal conveniencia, con dos reclamos formales escalados</w:t>
            </w:r>
          </w:p>
        </w:tc>
      </w:tr>
      <w:tr>
        <w:trPr>
          <w:tblHeader w:val="false"/>
        </w:trPr>
        <w:tc>
          <w:tcPr>
            <w:tcW w:type="dxa" w:w="1300"/>
            <w:tcMar>
              <w:top w:type="dxa" w:w="80"/>
              <w:left w:type="dxa" w:w="110"/>
              <w:bottom w:type="dxa" w:w="80"/>
              <w:right w:type="dxa" w:w="110"/>
            </w:tcMar>
          </w:tcPr>
          <w:p>
            <w:pPr>
              <w:spacing w:after="0" w:line="252"/>
            </w:pPr>
            <w:r>
              <w:rPr>
                <w:b/>
                <w:bCs/>
                <w:color w:val="1A1A1A"/>
                <w:sz w:val="18"/>
                <w:szCs w:val="18"/>
              </w:rPr>
              <w:t xml:space="preserve">[D]</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Aritmética explícita sobre [C] y [P]</w:t>
            </w:r>
          </w:p>
        </w:tc>
        <w:tc>
          <w:tcPr>
            <w:tcW w:type="dxa" w:w="4326"/>
            <w:tcMar>
              <w:top w:type="dxa" w:w="80"/>
              <w:left w:type="dxa" w:w="110"/>
              <w:bottom w:type="dxa" w:w="80"/>
              <w:right w:type="dxa" w:w="110"/>
            </w:tcMar>
          </w:tcPr>
          <w:p>
            <w:pPr>
              <w:spacing w:after="0" w:line="252"/>
            </w:pPr>
            <w:r>
              <w:rPr>
                <w:b w:val="false"/>
                <w:bCs w:val="false"/>
                <w:color w:val="1A1A1A"/>
                <w:sz w:val="18"/>
                <w:szCs w:val="18"/>
              </w:rPr>
              <w:t xml:space="preserve">Fuga de 6,24% de las ventas totales · 22% de crecimiento bruto necesario · 1.104 fallos de promesa al año · 26% de cuentas analizables · NPS ponderado de 42,10</w:t>
            </w:r>
          </w:p>
        </w:tc>
      </w:tr>
      <w:tr>
        <w:trPr>
          <w:tblHeader w:val="false"/>
        </w:trPr>
        <w:tc>
          <w:tcPr>
            <w:tcW w:type="dxa" w:w="1300"/>
            <w:shd w:fill="F2EFE9" w:color="auto" w:val="clear"/>
            <w:tcMar>
              <w:top w:type="dxa" w:w="80"/>
              <w:left w:type="dxa" w:w="110"/>
              <w:bottom w:type="dxa" w:w="80"/>
              <w:right w:type="dxa" w:w="110"/>
            </w:tcMar>
          </w:tcPr>
          <w:p>
            <w:pPr>
              <w:spacing w:after="0" w:line="252"/>
            </w:pPr>
            <w:r>
              <w:rPr>
                <w:b/>
                <w:bCs/>
                <w:color w:val="1A1A1A"/>
                <w:sz w:val="18"/>
                <w:szCs w:val="18"/>
              </w:rPr>
              <w:t xml:space="preserve">[H]</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Seis brechas sin rellenar; aparte, cinco supuestos propios declarados</w:t>
            </w:r>
          </w:p>
        </w:tc>
        <w:tc>
          <w:tcPr>
            <w:tcW w:type="dxa" w:w="43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Frecuencia de reposición · volumen de leads y costo de adquisición · retención en estaciones y panaderías · costo de la venta perdida</w:t>
            </w:r>
          </w:p>
        </w:tc>
      </w:tr>
    </w:tbl>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0"/>
          <w:szCs w:val="20"/>
        </w:rPr>
        <w:t xml:space="preserve">Declaración de límites, exigida por la propia problemática. </w:t>
      </w:r>
      <w:r>
        <w:rPr>
          <w:color w:val="1A1A1A"/>
          <w:sz w:val="20"/>
          <w:szCs w:val="20"/>
        </w:rPr>
        <w:t xml:space="preserve">La fuga de 6,24% se calcula solo sobre los dos canales que declaran retención. Estaciones de servicio y panaderías —15% de las ventas totales— no la reportan, de modo que la cifra presentada es un piso y no un total. Esa ausencia no debilita el argumento: lo confirma, porque es exactamente la ceguera que el problema central describe.</w:t>
      </w:r>
    </w:p>
    <w:p>
      <w:r>
        <w:br w:type="page"/>
      </w:r>
    </w:p>
    <w:p>
      <w:pPr>
        <w:pStyle w:val="Heading1"/>
        <w:spacing w:after="160" w:before="360"/>
      </w:pPr>
      <w:r>
        <w:t xml:space="preserve">3. El funnel B2B: dónde está cada síntoma</w:t>
      </w:r>
    </w:p>
    <w:p>
      <w:pPr>
        <w:spacing w:after="120" w:before="0" w:line="276"/>
      </w:pPr>
      <w:r>
        <w:rPr>
          <w:color w:val="1A1A1A"/>
          <w:sz w:val="20"/>
          <w:szCs w:val="20"/>
        </w:rPr>
        <w:t xml:space="preserve">Los problemas se ordenan en tres etapas y cada síntoma pertenece a una. Es la misma evidencia del diagnóstico por canal, reordenada según la lógica del embudo comercial.</w:t>
      </w:r>
    </w:p>
    <w:p>
      <w:pPr>
        <w:pStyle w:val="Heading3"/>
        <w:spacing w:after="100" w:before="220"/>
      </w:pPr>
      <w:r>
        <w:t xml:space="preserve">3.1 Consideración — “¿por qué le compran a otro y no a mí?”</w:t>
      </w:r>
    </w:p>
    <w:p>
      <w:pPr>
        <w:spacing w:after="120" w:before="0" w:line="276"/>
      </w:pPr>
      <w:r>
        <w:rPr>
          <w:color w:val="1A1A1A"/>
          <w:sz w:val="20"/>
          <w:szCs w:val="20"/>
        </w:rPr>
        <w:t xml:space="preserve">La etapa exige responder tres preguntas. ¿A quién le compran? A Nestlé, con 60% a 70% del canal institucional [P]. ¿Por qué le compran? Porque lo que su oferta pública pone al frente no es el café sino la continuidad operativa: instalación, mantención preventiva y correctiva, capacitación y préstamo de equipo mientras repara [P]. La oferta es dato público; que esa sea la razón de su liderazgo es lectura del equipo, coherente con el benchmark pero no demostrada. ¿Por qué a Marley no?</w:t>
      </w:r>
    </w:p>
    <w:p>
      <w:pPr>
        <w:spacing w:after="120" w:before="0" w:line="276"/>
      </w:pPr>
      <w:r>
        <w:rPr>
          <w:color w:val="1A1A1A"/>
          <w:sz w:val="20"/>
          <w:szCs w:val="20"/>
        </w:rPr>
        <w:t xml:space="preserve">El diagnóstico de la etapa es que Marley no está transmitiendo una propuesta de valor diferenciada por canal. Horeca no es Office Coffee Service: el dueño de una cafetería compra margen y confiabilidad en hora peak; el encargado de facilities compra que nadie reclame. Ofrecerles lo mismo es no ofrecerle nada específico a ninguno de los dos.</w:t>
      </w:r>
    </w:p>
    <w:p>
      <w:pPr>
        <w:pStyle w:val="Heading3"/>
        <w:spacing w:after="100" w:before="220"/>
      </w:pPr>
      <w:r>
        <w:t xml:space="preserve">3.2 Conversión — “te cotizan y no cierras”</w:t>
      </w:r>
    </w:p>
    <w:p>
      <w:pPr>
        <w:spacing w:after="120" w:before="0" w:line="276"/>
      </w:pPr>
      <w:r>
        <w:rPr>
          <w:color w:val="1A1A1A"/>
          <w:sz w:val="20"/>
          <w:szCs w:val="20"/>
        </w:rPr>
        <w:t xml:space="preserve">La conversión de lead a cliente es de 12% y la meta es 18% [C], pero no existe volumen base de leads ni definición de lead calificado, de modo que el indicador no puede gestionarse. El problema estructural de esta etapa es anterior: la cuenta nace sin identidad de punto. El ERP no identifica de forma homogénea el punto físico y el CRM tiene ficha completa en el 26% de los registros [C][D]. Todo lo que ocurra después —pedido, incidencia, medición— nace sin llave para vincularse.</w:t>
      </w:r>
    </w:p>
    <w:p>
      <w:pPr>
        <w:pStyle w:val="Heading3"/>
        <w:spacing w:after="100" w:before="220"/>
      </w:pPr>
      <w:r>
        <w:t xml:space="preserve">3.3 Fidelización — “si hiciste buena pega, el cliente no reinicia el proceso”</w:t>
      </w:r>
    </w:p>
    <w:p>
      <w:pPr>
        <w:spacing w:after="120" w:before="0" w:line="276"/>
      </w:pPr>
      <w:r>
        <w:rPr>
          <w:color w:val="1A1A1A"/>
          <w:sz w:val="20"/>
          <w:szCs w:val="20"/>
        </w:rPr>
        <w:t xml:space="preserve">Aquí se concentra la evidencia y aquí está el punto de fuga. El 82% de las reposiciones de Horeca se gestiona por ejecutivo, correo o mensajería; no hay visibilidad del estado del pedido; el OTIF es de 92%; hay 2,8 reclamos por cada 100 pedidos; los quiebres de stock afectan al 6,8% de los puntos de OCS cada mes; la primera respuesta técnica promedia 31 horas; la retención es de 86% en Horeca y 90% en OCS, y dos canales no reportan ninguna [C].</w:t>
      </w:r>
    </w:p>
    <w:p>
      <w:r>
        <w:br w:type="page"/>
      </w:r>
    </w:p>
    <w:p>
      <w:pPr>
        <w:pStyle w:val="Heading1"/>
        <w:spacing w:after="160" w:before="360"/>
      </w:pPr>
      <w:r>
        <w:t xml:space="preserve">4. El punto de fuga</w:t>
      </w:r>
    </w:p>
    <w:p>
      <w:pPr>
        <w:pStyle w:val="Heading2"/>
        <w:spacing w:after="120" w:before="280"/>
      </w:pPr>
      <w:r>
        <w:t xml:space="preserve">4.1 Fricción y punto de fuga no son lo mismo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rPr>
          <w:tblHeader/>
        </w:trPr>
        <w:tc>
          <w:tcPr>
            <w:tcW w:type="dxa" w:w="2200"/>
            <w:shd w:fill="2B2B2B" w:color="auto" w:val="clear"/>
            <w:tcMar>
              <w:top w:type="dxa" w:w="80"/>
              <w:left w:type="dxa" w:w="110"/>
              <w:bottom w:type="dxa" w:w="80"/>
              <w:right w:type="dxa" w:w="110"/>
            </w:tcMar>
          </w:tcPr>
          <w:p>
            <w:pPr>
              <w:spacing w:after="0" w:line="252"/>
            </w:pPr>
            <w:r>
              <w:rPr>
                <w:b/>
                <w:bCs/>
                <w:color w:val="FFFFFF"/>
                <w:sz w:val="16"/>
                <w:szCs w:val="16"/>
              </w:rPr>
              <w:t xml:space="preserve"/>
            </w:r>
          </w:p>
        </w:tc>
        <w:tc>
          <w:tcPr>
            <w:tcW w:type="dxa" w:w="3413"/>
            <w:shd w:fill="2B2B2B" w:color="auto" w:val="clear"/>
            <w:tcMar>
              <w:top w:type="dxa" w:w="80"/>
              <w:left w:type="dxa" w:w="110"/>
              <w:bottom w:type="dxa" w:w="80"/>
              <w:right w:type="dxa" w:w="110"/>
            </w:tcMar>
          </w:tcPr>
          <w:p>
            <w:pPr>
              <w:spacing w:after="0" w:line="252"/>
            </w:pPr>
            <w:r>
              <w:rPr>
                <w:b/>
                <w:bCs/>
                <w:color w:val="FFFFFF"/>
                <w:sz w:val="16"/>
                <w:szCs w:val="16"/>
              </w:rPr>
              <w:t xml:space="preserve">Fricción</w:t>
            </w:r>
          </w:p>
        </w:tc>
        <w:tc>
          <w:tcPr>
            <w:tcW w:type="dxa" w:w="3413"/>
            <w:shd w:fill="2B2B2B" w:color="auto" w:val="clear"/>
            <w:tcMar>
              <w:top w:type="dxa" w:w="80"/>
              <w:left w:type="dxa" w:w="110"/>
              <w:bottom w:type="dxa" w:w="80"/>
              <w:right w:type="dxa" w:w="110"/>
            </w:tcMar>
          </w:tcPr>
          <w:p>
            <w:pPr>
              <w:spacing w:after="0" w:line="252"/>
            </w:pPr>
            <w:r>
              <w:rPr>
                <w:b/>
                <w:bCs/>
                <w:color w:val="FFFFFF"/>
                <w:sz w:val="16"/>
                <w:szCs w:val="16"/>
              </w:rPr>
              <w:t xml:space="preserve">Punto de fuga</w:t>
            </w:r>
          </w:p>
        </w:tc>
      </w:tr>
      <w:tr>
        <w:trPr>
          <w:tblHeader w:val="false"/>
        </w:trPr>
        <w:tc>
          <w:tcPr>
            <w:tcW w:type="dxa" w:w="2200"/>
            <w:tcMar>
              <w:top w:type="dxa" w:w="80"/>
              <w:left w:type="dxa" w:w="110"/>
              <w:bottom w:type="dxa" w:w="80"/>
              <w:right w:type="dxa" w:w="110"/>
            </w:tcMar>
          </w:tcPr>
          <w:p>
            <w:pPr>
              <w:spacing w:after="0" w:line="252"/>
            </w:pPr>
            <w:r>
              <w:rPr>
                <w:b/>
                <w:bCs/>
                <w:color w:val="1A1A1A"/>
                <w:sz w:val="18"/>
                <w:szCs w:val="18"/>
              </w:rPr>
              <w:t xml:space="preserve">Qué es</w:t>
            </w:r>
          </w:p>
        </w:tc>
        <w:tc>
          <w:tcPr>
            <w:tcW w:type="dxa" w:w="3413"/>
            <w:tcMar>
              <w:top w:type="dxa" w:w="80"/>
              <w:left w:type="dxa" w:w="110"/>
              <w:bottom w:type="dxa" w:w="80"/>
              <w:right w:type="dxa" w:w="110"/>
            </w:tcMar>
          </w:tcPr>
          <w:p>
            <w:pPr>
              <w:spacing w:after="0" w:line="252"/>
            </w:pPr>
            <w:r>
              <w:rPr>
                <w:b w:val="false"/>
                <w:bCs w:val="false"/>
                <w:color w:val="1A1A1A"/>
                <w:sz w:val="18"/>
                <w:szCs w:val="18"/>
              </w:rPr>
              <w:t xml:space="preserve">El proceso se vuelve lento o difícil</w:t>
            </w:r>
          </w:p>
        </w:tc>
        <w:tc>
          <w:tcPr>
            <w:tcW w:type="dxa" w:w="3413"/>
            <w:tcMar>
              <w:top w:type="dxa" w:w="80"/>
              <w:left w:type="dxa" w:w="110"/>
              <w:bottom w:type="dxa" w:w="80"/>
              <w:right w:type="dxa" w:w="110"/>
            </w:tcMar>
          </w:tcPr>
          <w:p>
            <w:pPr>
              <w:spacing w:after="0" w:line="252"/>
            </w:pPr>
            <w:r>
              <w:rPr>
                <w:b/>
                <w:bCs/>
                <w:color w:val="1A1A1A"/>
                <w:sz w:val="18"/>
                <w:szCs w:val="18"/>
              </w:rPr>
              <w:t xml:space="preserve">La persona abandona el proceso</w:t>
            </w:r>
          </w:p>
        </w:tc>
      </w:tr>
      <w:tr>
        <w:trPr>
          <w:tblHeader w:val="false"/>
        </w:trPr>
        <w:tc>
          <w:tcPr>
            <w:tcW w:type="dxa" w:w="2200"/>
            <w:shd w:fill="F2EFE9" w:color="auto" w:val="clear"/>
            <w:tcMar>
              <w:top w:type="dxa" w:w="80"/>
              <w:left w:type="dxa" w:w="110"/>
              <w:bottom w:type="dxa" w:w="80"/>
              <w:right w:type="dxa" w:w="110"/>
            </w:tcMar>
          </w:tcPr>
          <w:p>
            <w:pPr>
              <w:spacing w:after="0" w:line="252"/>
            </w:pPr>
            <w:r>
              <w:rPr>
                <w:b/>
                <w:bCs/>
                <w:color w:val="1A1A1A"/>
                <w:sz w:val="18"/>
                <w:szCs w:val="18"/>
              </w:rPr>
              <w:t xml:space="preserve">Efecto</w:t>
            </w:r>
          </w:p>
        </w:tc>
        <w:tc>
          <w:tcPr>
            <w:tcW w:type="dxa" w:w="34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Cuello de botella</w:t>
            </w:r>
          </w:p>
        </w:tc>
        <w:tc>
          <w:tcPr>
            <w:tcW w:type="dxa" w:w="34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Pérdida</w:t>
            </w:r>
          </w:p>
        </w:tc>
      </w:tr>
      <w:tr>
        <w:trPr>
          <w:tblHeader w:val="false"/>
        </w:trPr>
        <w:tc>
          <w:tcPr>
            <w:tcW w:type="dxa" w:w="2200"/>
            <w:tcMar>
              <w:top w:type="dxa" w:w="80"/>
              <w:left w:type="dxa" w:w="110"/>
              <w:bottom w:type="dxa" w:w="80"/>
              <w:right w:type="dxa" w:w="110"/>
            </w:tcMar>
          </w:tcPr>
          <w:p>
            <w:pPr>
              <w:spacing w:after="0" w:line="252"/>
            </w:pPr>
            <w:r>
              <w:rPr>
                <w:b/>
                <w:bCs/>
                <w:color w:val="1A1A1A"/>
                <w:sz w:val="18"/>
                <w:szCs w:val="18"/>
              </w:rPr>
              <w:t xml:space="preserve">Qué se hace</w:t>
            </w:r>
          </w:p>
        </w:tc>
        <w:tc>
          <w:tcPr>
            <w:tcW w:type="dxa" w:w="3413"/>
            <w:tcMar>
              <w:top w:type="dxa" w:w="80"/>
              <w:left w:type="dxa" w:w="110"/>
              <w:bottom w:type="dxa" w:w="80"/>
              <w:right w:type="dxa" w:w="110"/>
            </w:tcMar>
          </w:tcPr>
          <w:p>
            <w:pPr>
              <w:spacing w:after="0" w:line="252"/>
            </w:pPr>
            <w:r>
              <w:rPr>
                <w:b w:val="false"/>
                <w:bCs w:val="false"/>
                <w:color w:val="1A1A1A"/>
                <w:sz w:val="18"/>
                <w:szCs w:val="18"/>
              </w:rPr>
              <w:t xml:space="preserve">Se optimiza</w:t>
            </w:r>
          </w:p>
        </w:tc>
        <w:tc>
          <w:tcPr>
            <w:tcW w:type="dxa" w:w="3413"/>
            <w:tcMar>
              <w:top w:type="dxa" w:w="80"/>
              <w:left w:type="dxa" w:w="110"/>
              <w:bottom w:type="dxa" w:w="80"/>
              <w:right w:type="dxa" w:w="110"/>
            </w:tcMar>
          </w:tcPr>
          <w:p>
            <w:pPr>
              <w:spacing w:after="0" w:line="252"/>
            </w:pPr>
            <w:r>
              <w:rPr>
                <w:b/>
                <w:bCs/>
                <w:color w:val="1A1A1A"/>
                <w:sz w:val="18"/>
                <w:szCs w:val="18"/>
              </w:rPr>
              <w:t xml:space="preserve">Se monetiza</w:t>
            </w:r>
          </w:p>
        </w:tc>
      </w:tr>
    </w:tbl>
    <w:p>
      <w:pPr>
        <w:spacing w:after="120" w:before="100" w:line="276"/>
      </w:pPr>
      <w:r>
        <w:rPr>
          <w:color w:val="1A1A1A"/>
          <w:sz w:val="20"/>
          <w:szCs w:val="20"/>
        </w:rPr>
        <w:t xml:space="preserve">El diagnóstico previo del equipo tenía las fricciones mapeadas, pero no había declarado dónde se pierde el negocio. Esta sección lo hace.</w:t>
      </w:r>
    </w:p>
    <w:p>
      <w:pPr>
        <w:pStyle w:val="Heading2"/>
        <w:spacing w:after="120" w:before="280"/>
      </w:pPr>
      <w:r>
        <w:t xml:space="preserve">4.2 El hallazgo: en su canal principal, Marley reconquista</w:t>
      </w:r>
    </w:p>
    <w:p>
      <w:pPr>
        <w:spacing w:after="120" w:before="0" w:line="276"/>
      </w:pPr>
      <w:r>
        <w:rPr>
          <w:color w:val="1A1A1A"/>
          <w:sz w:val="20"/>
          <w:szCs w:val="20"/>
        </w:rPr>
        <w:t xml:space="preserve">En Horeca, el 82% de las reposiciones se gestiona por ejecutivo, correo o mensajería [C]. Eso significa que en cada pedido el cliente vuelve a empezar: tiene que acordarse, contactar a alguien y esperar sin saber en qué estado va su pedido.</w:t>
      </w:r>
    </w:p>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2"/>
          <w:szCs w:val="22"/>
        </w:rPr>
        <w:t xml:space="preserve">Con reposición mensual, la empresa vuelve a ganarse al mismo cliente doce veces al año en vez de retenerlo una.</w:t>
      </w:r>
    </w:p>
    <w:p>
      <w:pPr>
        <w:spacing w:after="120" w:before="0" w:line="276"/>
      </w:pPr>
      <w:r>
        <w:rPr>
          <w:color w:val="1A1A1A"/>
          <w:sz w:val="20"/>
          <w:szCs w:val="20"/>
        </w:rPr>
        <w:t xml:space="preserve">De ahí se desprende dónde está la fuga: no es un evento anual de no-renovación, sino la acumulación de doce reaperturas de la decisión, cada una expuesta a un quiebre, un despacho tardío o una máquina caída.</w:t>
      </w:r>
    </w:p>
    <w:p>
      <w:pPr>
        <w:pStyle w:val="Heading3"/>
        <w:spacing w:after="100" w:before="220"/>
      </w:pPr>
      <w:r>
        <w:t xml:space="preserve">Las oportunidades de fuga son contables [D]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13"/>
        <w:gridCol w:w="2513"/>
      </w:tblGrid>
      <w:tr>
        <w:trPr>
          <w:tblHeader/>
        </w:trPr>
        <w:tc>
          <w:tcPr>
            <w:tcW w:type="dxa" w:w="4000"/>
            <w:shd w:fill="2B2B2B" w:color="auto" w:val="clear"/>
            <w:tcMar>
              <w:top w:type="dxa" w:w="80"/>
              <w:left w:type="dxa" w:w="110"/>
              <w:bottom w:type="dxa" w:w="80"/>
              <w:right w:type="dxa" w:w="110"/>
            </w:tcMar>
          </w:tcPr>
          <w:p>
            <w:pPr>
              <w:spacing w:after="0" w:line="252"/>
            </w:pPr>
            <w:r>
              <w:rPr>
                <w:b/>
                <w:bCs/>
                <w:color w:val="FFFFFF"/>
                <w:sz w:val="16"/>
                <w:szCs w:val="16"/>
              </w:rPr>
              <w:t xml:space="preserve">Concepto</w:t>
            </w:r>
          </w:p>
        </w:tc>
        <w:tc>
          <w:tcPr>
            <w:tcW w:type="dxa" w:w="2513"/>
            <w:shd w:fill="2B2B2B" w:color="auto" w:val="clear"/>
            <w:tcMar>
              <w:top w:type="dxa" w:w="80"/>
              <w:left w:type="dxa" w:w="110"/>
              <w:bottom w:type="dxa" w:w="80"/>
              <w:right w:type="dxa" w:w="110"/>
            </w:tcMar>
          </w:tcPr>
          <w:p>
            <w:pPr>
              <w:spacing w:after="0" w:line="252"/>
            </w:pPr>
            <w:r>
              <w:rPr>
                <w:b/>
                <w:bCs/>
                <w:color w:val="FFFFFF"/>
                <w:sz w:val="16"/>
                <w:szCs w:val="16"/>
              </w:rPr>
              <w:t xml:space="preserve">Cálculo</w:t>
            </w:r>
          </w:p>
        </w:tc>
        <w:tc>
          <w:tcPr>
            <w:tcW w:type="dxa" w:w="2513"/>
            <w:shd w:fill="2B2B2B" w:color="auto" w:val="clear"/>
            <w:tcMar>
              <w:top w:type="dxa" w:w="80"/>
              <w:left w:type="dxa" w:w="110"/>
              <w:bottom w:type="dxa" w:w="80"/>
              <w:right w:type="dxa" w:w="110"/>
            </w:tcMar>
          </w:tcPr>
          <w:p>
            <w:pPr>
              <w:spacing w:after="0" w:line="252"/>
            </w:pPr>
            <w:r>
              <w:rPr>
                <w:b/>
                <w:bCs/>
                <w:color w:val="FFFFFF"/>
                <w:sz w:val="16"/>
                <w:szCs w:val="16"/>
              </w:rPr>
              <w:t xml:space="preserve">Resultado</w:t>
            </w:r>
          </w:p>
        </w:tc>
      </w:tr>
      <w:tr>
        <w:trPr>
          <w:tblHeader w:val="false"/>
        </w:trPr>
        <w:tc>
          <w:tcPr>
            <w:tcW w:type="dxa" w:w="4000"/>
            <w:tcMar>
              <w:top w:type="dxa" w:w="80"/>
              <w:left w:type="dxa" w:w="110"/>
              <w:bottom w:type="dxa" w:w="80"/>
              <w:right w:type="dxa" w:w="110"/>
            </w:tcMar>
          </w:tcPr>
          <w:p>
            <w:pPr>
              <w:spacing w:after="0" w:line="252"/>
            </w:pPr>
            <w:r>
              <w:rPr>
                <w:b w:val="false"/>
                <w:bCs w:val="false"/>
                <w:color w:val="1A1A1A"/>
                <w:sz w:val="18"/>
                <w:szCs w:val="18"/>
              </w:rPr>
              <w:t xml:space="preserve">Pedidos Horeca al año</w:t>
            </w:r>
          </w:p>
        </w:tc>
        <w:tc>
          <w:tcPr>
            <w:tcW w:type="dxa" w:w="2513"/>
            <w:tcMar>
              <w:top w:type="dxa" w:w="80"/>
              <w:left w:type="dxa" w:w="110"/>
              <w:bottom w:type="dxa" w:w="80"/>
              <w:right w:type="dxa" w:w="110"/>
            </w:tcMar>
          </w:tcPr>
          <w:p>
            <w:pPr>
              <w:spacing w:after="0" w:line="252"/>
            </w:pPr>
            <w:r>
              <w:rPr>
                <w:b w:val="false"/>
                <w:bCs w:val="false"/>
                <w:color w:val="1A1A1A"/>
                <w:sz w:val="18"/>
                <w:szCs w:val="18"/>
              </w:rPr>
              <w:t xml:space="preserve">1.150 puntos × 12</w:t>
            </w:r>
          </w:p>
        </w:tc>
        <w:tc>
          <w:tcPr>
            <w:tcW w:type="dxa" w:w="2513"/>
            <w:tcMar>
              <w:top w:type="dxa" w:w="80"/>
              <w:left w:type="dxa" w:w="110"/>
              <w:bottom w:type="dxa" w:w="80"/>
              <w:right w:type="dxa" w:w="110"/>
            </w:tcMar>
          </w:tcPr>
          <w:p>
            <w:pPr>
              <w:spacing w:after="0" w:line="252"/>
            </w:pPr>
            <w:r>
              <w:rPr>
                <w:b w:val="false"/>
                <w:bCs w:val="false"/>
                <w:color w:val="1A1A1A"/>
                <w:sz w:val="18"/>
                <w:szCs w:val="18"/>
              </w:rPr>
              <w:t xml:space="preserve">13.800</w:t>
            </w:r>
          </w:p>
        </w:tc>
      </w:tr>
      <w:tr>
        <w:trPr>
          <w:tblHeader w:val="false"/>
        </w:trPr>
        <w:tc>
          <w:tcPr>
            <w:tcW w:type="dxa" w:w="4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Pedidos que fallan la promesa de entrega</w:t>
            </w:r>
          </w:p>
        </w:tc>
        <w:tc>
          <w:tcPr>
            <w:tcW w:type="dxa" w:w="25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 8% (OTIF 92%)</w:t>
            </w:r>
          </w:p>
        </w:tc>
        <w:tc>
          <w:tcPr>
            <w:tcW w:type="dxa" w:w="2513"/>
            <w:shd w:fill="F2EFE9" w:color="auto" w:val="clear"/>
            <w:tcMar>
              <w:top w:type="dxa" w:w="80"/>
              <w:left w:type="dxa" w:w="110"/>
              <w:bottom w:type="dxa" w:w="80"/>
              <w:right w:type="dxa" w:w="110"/>
            </w:tcMar>
          </w:tcPr>
          <w:p>
            <w:pPr>
              <w:spacing w:after="0" w:line="252"/>
            </w:pPr>
            <w:r>
              <w:rPr>
                <w:b/>
                <w:bCs/>
                <w:color w:val="1A1A1A"/>
                <w:sz w:val="18"/>
                <w:szCs w:val="18"/>
              </w:rPr>
              <w:t xml:space="preserve">1.104 al año</w:t>
            </w:r>
          </w:p>
        </w:tc>
      </w:tr>
      <w:tr>
        <w:trPr>
          <w:tblHeader w:val="false"/>
        </w:trPr>
        <w:tc>
          <w:tcPr>
            <w:tcW w:type="dxa" w:w="4000"/>
            <w:tcMar>
              <w:top w:type="dxa" w:w="80"/>
              <w:left w:type="dxa" w:w="110"/>
              <w:bottom w:type="dxa" w:w="80"/>
              <w:right w:type="dxa" w:w="110"/>
            </w:tcMar>
          </w:tcPr>
          <w:p>
            <w:pPr>
              <w:spacing w:after="0" w:line="252"/>
            </w:pPr>
            <w:r>
              <w:rPr>
                <w:b w:val="false"/>
                <w:bCs w:val="false"/>
                <w:color w:val="1A1A1A"/>
                <w:sz w:val="18"/>
                <w:szCs w:val="18"/>
              </w:rPr>
              <w:t xml:space="preserve">Reclamos</w:t>
            </w:r>
          </w:p>
        </w:tc>
        <w:tc>
          <w:tcPr>
            <w:tcW w:type="dxa" w:w="2513"/>
            <w:tcMar>
              <w:top w:type="dxa" w:w="80"/>
              <w:left w:type="dxa" w:w="110"/>
              <w:bottom w:type="dxa" w:w="80"/>
              <w:right w:type="dxa" w:w="110"/>
            </w:tcMar>
          </w:tcPr>
          <w:p>
            <w:pPr>
              <w:spacing w:after="0" w:line="252"/>
            </w:pPr>
            <w:r>
              <w:rPr>
                <w:b w:val="false"/>
                <w:bCs w:val="false"/>
                <w:color w:val="1A1A1A"/>
                <w:sz w:val="18"/>
                <w:szCs w:val="18"/>
              </w:rPr>
              <w:t xml:space="preserve">× 2,8 por cada 100 pedidos</w:t>
            </w:r>
          </w:p>
        </w:tc>
        <w:tc>
          <w:tcPr>
            <w:tcW w:type="dxa" w:w="2513"/>
            <w:tcMar>
              <w:top w:type="dxa" w:w="80"/>
              <w:left w:type="dxa" w:w="110"/>
              <w:bottom w:type="dxa" w:w="80"/>
              <w:right w:type="dxa" w:w="110"/>
            </w:tcMar>
          </w:tcPr>
          <w:p>
            <w:pPr>
              <w:spacing w:after="0" w:line="252"/>
            </w:pPr>
            <w:r>
              <w:rPr>
                <w:b w:val="false"/>
                <w:bCs w:val="false"/>
                <w:color w:val="1A1A1A"/>
                <w:sz w:val="18"/>
                <w:szCs w:val="18"/>
              </w:rPr>
              <w:t xml:space="preserve">386 al año</w:t>
            </w:r>
          </w:p>
        </w:tc>
      </w:tr>
      <w:tr>
        <w:trPr>
          <w:tblHeader w:val="false"/>
        </w:trPr>
        <w:tc>
          <w:tcPr>
            <w:tcW w:type="dxa" w:w="4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Eventos de quiebre en OCS</w:t>
            </w:r>
          </w:p>
        </w:tc>
        <w:tc>
          <w:tcPr>
            <w:tcW w:type="dxa" w:w="25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1.260 × 6,8% × 12</w:t>
            </w:r>
          </w:p>
        </w:tc>
        <w:tc>
          <w:tcPr>
            <w:tcW w:type="dxa" w:w="2513"/>
            <w:shd w:fill="F2EFE9" w:color="auto" w:val="clear"/>
            <w:tcMar>
              <w:top w:type="dxa" w:w="80"/>
              <w:left w:type="dxa" w:w="110"/>
              <w:bottom w:type="dxa" w:w="80"/>
              <w:right w:type="dxa" w:w="110"/>
            </w:tcMar>
          </w:tcPr>
          <w:p>
            <w:pPr>
              <w:spacing w:after="0" w:line="252"/>
            </w:pPr>
            <w:r>
              <w:rPr>
                <w:b/>
                <w:bCs/>
                <w:color w:val="1A1A1A"/>
                <w:sz w:val="18"/>
                <w:szCs w:val="18"/>
              </w:rPr>
              <w:t xml:space="preserve">1.028 al año</w:t>
            </w:r>
          </w:p>
        </w:tc>
      </w:tr>
    </w:tbl>
    <w:p>
      <w:pPr>
        <w:spacing w:after="120" w:before="100" w:line="276"/>
      </w:pPr>
      <w:r>
        <w:rPr>
          <w:color w:val="1A1A1A"/>
          <w:sz w:val="20"/>
          <w:szCs w:val="20"/>
        </w:rPr>
        <w:t xml:space="preserve">Hay casi una experiencia de falla al año por cada punto de la red (0,96 en Horeca y 0,82 en OCS). Es un promedio sobre el total, no una frecuencia por punto: si las fallas se concentran en unos pocos puntos, muchos no viven ninguna y otros viven varias. Entre 10% y 14% de los puntos no renueva. Que ambas cifras sean del mismo orden es una hipótesis a verificar, no una causalidad demostrada, pero es la hipótesis que el punto de fuga obliga a plantear.</w:t>
      </w:r>
    </w:p>
    <w:p>
      <w:pPr>
        <w:spacing w:after="160" w:before="0" w:line="276"/>
      </w:pPr>
      <w:r>
        <w:rPr>
          <w:b/>
          <w:bCs/>
          <w:color w:val="A8482A"/>
          <w:sz w:val="17"/>
          <w:szCs w:val="17"/>
        </w:rPr>
        <w:t xml:space="preserve">Nota. </w:t>
      </w:r>
      <w:r>
        <w:rPr>
          <w:i/>
          <w:iCs/>
          <w:color w:val="595959"/>
          <w:sz w:val="17"/>
          <w:szCs w:val="17"/>
        </w:rPr>
        <w:t xml:space="preserve">Supuesto declarado: reposición mensual por punto. El caso no entrega frecuencia de pedido. Si la frecuencia real fuera quincenal, las oportunidades de fuga se duplican y el argumento se refuerza. Esta pregunta fue enviada al webinar con la empresa.</w:t>
      </w:r>
    </w:p>
    <w:p>
      <w:pPr>
        <w:pStyle w:val="Heading2"/>
        <w:spacing w:after="120" w:before="280"/>
      </w:pPr>
      <w:r>
        <w:t xml:space="preserve">4.3 La monetización de la fuga</w:t>
      </w:r>
    </w:p>
    <w:p>
      <w:pPr>
        <w:spacing w:after="120" w:before="0" w:line="276"/>
      </w:pPr>
      <w:r>
        <w:rPr>
          <w:color w:val="1A1A1A"/>
          <w:sz w:val="20"/>
          <w:szCs w:val="20"/>
        </w:rPr>
        <w:t xml:space="preserve">Se valoriza únicamente la fuga medible: la no-recompra anual en los dos canales que declaran retención.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2400"/>
        <w:gridCol w:w="2526"/>
      </w:tblGrid>
      <w:tr>
        <w:trPr>
          <w:tblHeader/>
        </w:trPr>
        <w:tc>
          <w:tcPr>
            <w:tcW w:type="dxa" w:w="2500"/>
            <w:shd w:fill="2B2B2B" w:color="auto" w:val="clear"/>
            <w:tcMar>
              <w:top w:type="dxa" w:w="80"/>
              <w:left w:type="dxa" w:w="110"/>
              <w:bottom w:type="dxa" w:w="80"/>
              <w:right w:type="dxa" w:w="110"/>
            </w:tcMar>
          </w:tcPr>
          <w:p>
            <w:pPr>
              <w:spacing w:after="0" w:line="252"/>
            </w:pPr>
            <w:r>
              <w:rPr>
                <w:b/>
                <w:bCs/>
                <w:color w:val="FFFFFF"/>
                <w:sz w:val="16"/>
                <w:szCs w:val="16"/>
              </w:rPr>
              <w:t xml:space="preserve">Canal</w:t>
            </w:r>
          </w:p>
        </w:tc>
        <w:tc>
          <w:tcPr>
            <w:tcW w:type="dxa" w:w="1600"/>
            <w:shd w:fill="2B2B2B" w:color="auto" w:val="clear"/>
            <w:tcMar>
              <w:top w:type="dxa" w:w="80"/>
              <w:left w:type="dxa" w:w="110"/>
              <w:bottom w:type="dxa" w:w="80"/>
              <w:right w:type="dxa" w:w="110"/>
            </w:tcMar>
          </w:tcPr>
          <w:p>
            <w:pPr>
              <w:spacing w:after="0" w:line="252"/>
            </w:pPr>
            <w:r>
              <w:rPr>
                <w:b/>
                <w:bCs/>
                <w:color w:val="FFFFFF"/>
                <w:sz w:val="16"/>
                <w:szCs w:val="16"/>
              </w:rPr>
              <w:t xml:space="preserve">No renueva</w:t>
            </w:r>
          </w:p>
        </w:tc>
        <w:tc>
          <w:tcPr>
            <w:tcW w:type="dxa" w:w="2400"/>
            <w:shd w:fill="2B2B2B" w:color="auto" w:val="clear"/>
            <w:tcMar>
              <w:top w:type="dxa" w:w="80"/>
              <w:left w:type="dxa" w:w="110"/>
              <w:bottom w:type="dxa" w:w="80"/>
              <w:right w:type="dxa" w:w="110"/>
            </w:tcMar>
          </w:tcPr>
          <w:p>
            <w:pPr>
              <w:spacing w:after="0" w:line="252"/>
            </w:pPr>
            <w:r>
              <w:rPr>
                <w:b/>
                <w:bCs/>
                <w:color w:val="FFFFFF"/>
                <w:sz w:val="16"/>
                <w:szCs w:val="16"/>
              </w:rPr>
              <w:t xml:space="preserve">Puntos perdidos al año</w:t>
            </w:r>
          </w:p>
        </w:tc>
        <w:tc>
          <w:tcPr>
            <w:tcW w:type="dxa" w:w="2526"/>
            <w:shd w:fill="2B2B2B" w:color="auto" w:val="clear"/>
            <w:tcMar>
              <w:top w:type="dxa" w:w="80"/>
              <w:left w:type="dxa" w:w="110"/>
              <w:bottom w:type="dxa" w:w="80"/>
              <w:right w:type="dxa" w:w="110"/>
            </w:tcMar>
          </w:tcPr>
          <w:p>
            <w:pPr>
              <w:spacing w:after="0" w:line="252"/>
            </w:pPr>
            <w:r>
              <w:rPr>
                <w:b/>
                <w:bCs/>
                <w:color w:val="FFFFFF"/>
                <w:sz w:val="16"/>
                <w:szCs w:val="16"/>
              </w:rPr>
              <w:t xml:space="preserve">% de las ventas totales</w:t>
            </w:r>
          </w:p>
        </w:tc>
      </w:tr>
      <w:tr>
        <w:trPr>
          <w:tblHeader w:val="false"/>
        </w:trPr>
        <w:tc>
          <w:tcPr>
            <w:tcW w:type="dxa" w:w="2500"/>
            <w:tcMar>
              <w:top w:type="dxa" w:w="80"/>
              <w:left w:type="dxa" w:w="110"/>
              <w:bottom w:type="dxa" w:w="80"/>
              <w:right w:type="dxa" w:w="110"/>
            </w:tcMar>
          </w:tcPr>
          <w:p>
            <w:pPr>
              <w:spacing w:after="0" w:line="252"/>
            </w:pPr>
            <w:r>
              <w:rPr>
                <w:b w:val="false"/>
                <w:bCs w:val="false"/>
                <w:color w:val="1A1A1A"/>
                <w:sz w:val="18"/>
                <w:szCs w:val="18"/>
              </w:rPr>
              <w:t xml:space="preserve">Horeca</w:t>
            </w:r>
          </w:p>
        </w:tc>
        <w:tc>
          <w:tcPr>
            <w:tcW w:type="dxa" w:w="1600"/>
            <w:tcMar>
              <w:top w:type="dxa" w:w="80"/>
              <w:left w:type="dxa" w:w="110"/>
              <w:bottom w:type="dxa" w:w="80"/>
              <w:right w:type="dxa" w:w="110"/>
            </w:tcMar>
          </w:tcPr>
          <w:p>
            <w:pPr>
              <w:spacing w:after="0" w:line="252"/>
            </w:pPr>
            <w:r>
              <w:rPr>
                <w:b w:val="false"/>
                <w:bCs w:val="false"/>
                <w:color w:val="1A1A1A"/>
                <w:sz w:val="18"/>
                <w:szCs w:val="18"/>
              </w:rPr>
              <w:t xml:space="preserve">14%</w:t>
            </w:r>
          </w:p>
        </w:tc>
        <w:tc>
          <w:tcPr>
            <w:tcW w:type="dxa" w:w="2400"/>
            <w:tcMar>
              <w:top w:type="dxa" w:w="80"/>
              <w:left w:type="dxa" w:w="110"/>
              <w:bottom w:type="dxa" w:w="80"/>
              <w:right w:type="dxa" w:w="110"/>
            </w:tcMar>
          </w:tcPr>
          <w:p>
            <w:pPr>
              <w:spacing w:after="0" w:line="252"/>
            </w:pPr>
            <w:r>
              <w:rPr>
                <w:b w:val="false"/>
                <w:bCs w:val="false"/>
                <w:color w:val="1A1A1A"/>
                <w:sz w:val="18"/>
                <w:szCs w:val="18"/>
              </w:rPr>
              <w:t xml:space="preserve">161</w:t>
            </w:r>
          </w:p>
        </w:tc>
        <w:tc>
          <w:tcPr>
            <w:tcW w:type="dxa" w:w="2526"/>
            <w:tcMar>
              <w:top w:type="dxa" w:w="80"/>
              <w:left w:type="dxa" w:w="110"/>
              <w:bottom w:type="dxa" w:w="80"/>
              <w:right w:type="dxa" w:w="110"/>
            </w:tcMar>
          </w:tcPr>
          <w:p>
            <w:pPr>
              <w:spacing w:after="0" w:line="252"/>
            </w:pPr>
            <w:r>
              <w:rPr>
                <w:b/>
                <w:bCs/>
                <w:color w:val="1A1A1A"/>
                <w:sz w:val="18"/>
                <w:szCs w:val="18"/>
              </w:rPr>
              <w:t xml:space="preserve">5,04%</w:t>
            </w:r>
          </w:p>
        </w:tc>
      </w:tr>
      <w:tr>
        <w:trPr>
          <w:tblHeader w:val="false"/>
        </w:trPr>
        <w:tc>
          <w:tcPr>
            <w:tcW w:type="dxa" w:w="25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Office Coffee Service</w:t>
            </w:r>
          </w:p>
        </w:tc>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10%</w:t>
            </w:r>
          </w:p>
        </w:tc>
        <w:tc>
          <w:tcPr>
            <w:tcW w:type="dxa" w:w="2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126</w:t>
            </w:r>
          </w:p>
        </w:tc>
        <w:tc>
          <w:tcPr>
            <w:tcW w:type="dxa" w:w="2526"/>
            <w:shd w:fill="F2EFE9" w:color="auto" w:val="clear"/>
            <w:tcMar>
              <w:top w:type="dxa" w:w="80"/>
              <w:left w:type="dxa" w:w="110"/>
              <w:bottom w:type="dxa" w:w="80"/>
              <w:right w:type="dxa" w:w="110"/>
            </w:tcMar>
          </w:tcPr>
          <w:p>
            <w:pPr>
              <w:spacing w:after="0" w:line="252"/>
            </w:pPr>
            <w:r>
              <w:rPr>
                <w:b/>
                <w:bCs/>
                <w:color w:val="1A1A1A"/>
                <w:sz w:val="18"/>
                <w:szCs w:val="18"/>
              </w:rPr>
              <w:t xml:space="preserve">1,20%</w:t>
            </w:r>
          </w:p>
        </w:tc>
      </w:tr>
      <w:tr>
        <w:trPr>
          <w:tblHeader w:val="false"/>
        </w:trPr>
        <w:tc>
          <w:tcPr>
            <w:tcW w:type="dxa" w:w="2500"/>
            <w:tcMar>
              <w:top w:type="dxa" w:w="80"/>
              <w:left w:type="dxa" w:w="110"/>
              <w:bottom w:type="dxa" w:w="80"/>
              <w:right w:type="dxa" w:w="110"/>
            </w:tcMar>
          </w:tcPr>
          <w:p>
            <w:pPr>
              <w:spacing w:after="0" w:line="252"/>
            </w:pPr>
            <w:r>
              <w:rPr>
                <w:b w:val="false"/>
                <w:bCs w:val="false"/>
                <w:color w:val="1A1A1A"/>
                <w:sz w:val="18"/>
                <w:szCs w:val="18"/>
              </w:rPr>
              <w:t xml:space="preserve">Estaciones y conveniencia</w:t>
            </w:r>
          </w:p>
        </w:tc>
        <w:tc>
          <w:tcPr>
            <w:tcW w:type="dxa" w:w="1600"/>
            <w:tcMar>
              <w:top w:type="dxa" w:w="80"/>
              <w:left w:type="dxa" w:w="110"/>
              <w:bottom w:type="dxa" w:w="80"/>
              <w:right w:type="dxa" w:w="110"/>
            </w:tcMar>
          </w:tcPr>
          <w:p>
            <w:pPr>
              <w:spacing w:after="0" w:line="252"/>
            </w:pPr>
            <w:r>
              <w:rPr>
                <w:b w:val="false"/>
                <w:bCs w:val="false"/>
                <w:i/>
                <w:iCs/>
                <w:color w:val="1A1A1A"/>
                <w:sz w:val="18"/>
                <w:szCs w:val="18"/>
              </w:rPr>
              <w:t xml:space="preserve">sin dato</w:t>
            </w:r>
          </w:p>
        </w:tc>
        <w:tc>
          <w:tcPr>
            <w:tcW w:type="dxa" w:w="2400"/>
            <w:tcMar>
              <w:top w:type="dxa" w:w="80"/>
              <w:left w:type="dxa" w:w="110"/>
              <w:bottom w:type="dxa" w:w="80"/>
              <w:right w:type="dxa" w:w="110"/>
            </w:tcMar>
          </w:tcPr>
          <w:p>
            <w:pPr>
              <w:spacing w:after="0" w:line="252"/>
            </w:pPr>
            <w:r>
              <w:rPr>
                <w:b w:val="false"/>
                <w:bCs w:val="false"/>
                <w:i/>
                <w:iCs/>
                <w:color w:val="1A1A1A"/>
                <w:sz w:val="18"/>
                <w:szCs w:val="18"/>
              </w:rPr>
              <w:t xml:space="preserve">no medible</w:t>
            </w:r>
          </w:p>
        </w:tc>
        <w:tc>
          <w:tcPr>
            <w:tcW w:type="dxa" w:w="2526"/>
            <w:tcMar>
              <w:top w:type="dxa" w:w="80"/>
              <w:left w:type="dxa" w:w="110"/>
              <w:bottom w:type="dxa" w:w="80"/>
              <w:right w:type="dxa" w:w="110"/>
            </w:tcMar>
          </w:tcPr>
          <w:p>
            <w:pPr>
              <w:spacing w:after="0" w:line="252"/>
            </w:pPr>
            <w:r>
              <w:rPr>
                <w:b w:val="false"/>
                <w:bCs w:val="false"/>
                <w:color w:val="1A1A1A"/>
                <w:sz w:val="18"/>
                <w:szCs w:val="18"/>
              </w:rPr>
              <w:t xml:space="preserve">9% de ventas sin medir</w:t>
            </w:r>
          </w:p>
        </w:tc>
      </w:tr>
      <w:tr>
        <w:trPr>
          <w:tblHeader w:val="false"/>
        </w:trPr>
        <w:tc>
          <w:tcPr>
            <w:tcW w:type="dxa" w:w="25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Panaderías</w:t>
            </w:r>
          </w:p>
        </w:tc>
        <w:tc>
          <w:tcPr>
            <w:tcW w:type="dxa" w:w="1600"/>
            <w:shd w:fill="F2EFE9" w:color="auto" w:val="clear"/>
            <w:tcMar>
              <w:top w:type="dxa" w:w="80"/>
              <w:left w:type="dxa" w:w="110"/>
              <w:bottom w:type="dxa" w:w="80"/>
              <w:right w:type="dxa" w:w="110"/>
            </w:tcMar>
          </w:tcPr>
          <w:p>
            <w:pPr>
              <w:spacing w:after="0" w:line="252"/>
            </w:pPr>
            <w:r>
              <w:rPr>
                <w:b w:val="false"/>
                <w:bCs w:val="false"/>
                <w:i/>
                <w:iCs/>
                <w:color w:val="1A1A1A"/>
                <w:sz w:val="18"/>
                <w:szCs w:val="18"/>
              </w:rPr>
              <w:t xml:space="preserve">sin dato</w:t>
            </w:r>
          </w:p>
        </w:tc>
        <w:tc>
          <w:tcPr>
            <w:tcW w:type="dxa" w:w="2400"/>
            <w:shd w:fill="F2EFE9" w:color="auto" w:val="clear"/>
            <w:tcMar>
              <w:top w:type="dxa" w:w="80"/>
              <w:left w:type="dxa" w:w="110"/>
              <w:bottom w:type="dxa" w:w="80"/>
              <w:right w:type="dxa" w:w="110"/>
            </w:tcMar>
          </w:tcPr>
          <w:p>
            <w:pPr>
              <w:spacing w:after="0" w:line="252"/>
            </w:pPr>
            <w:r>
              <w:rPr>
                <w:b w:val="false"/>
                <w:bCs w:val="false"/>
                <w:i/>
                <w:iCs/>
                <w:color w:val="1A1A1A"/>
                <w:sz w:val="18"/>
                <w:szCs w:val="18"/>
              </w:rPr>
              <w:t xml:space="preserve">no medible</w:t>
            </w:r>
          </w:p>
        </w:tc>
        <w:tc>
          <w:tcPr>
            <w:tcW w:type="dxa" w:w="25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6% de ventas sin medir</w:t>
            </w:r>
          </w:p>
        </w:tc>
      </w:tr>
      <w:tr>
        <w:trPr>
          <w:tblHeader w:val="false"/>
        </w:trPr>
        <w:tc>
          <w:tcPr>
            <w:tcW w:type="dxa" w:w="2500"/>
            <w:shd w:fill="E6E0D6" w:color="auto" w:val="clear"/>
            <w:tcMar>
              <w:top w:type="dxa" w:w="80"/>
              <w:left w:type="dxa" w:w="110"/>
              <w:bottom w:type="dxa" w:w="80"/>
              <w:right w:type="dxa" w:w="110"/>
            </w:tcMar>
          </w:tcPr>
          <w:p>
            <w:pPr>
              <w:spacing w:after="0" w:line="252"/>
            </w:pPr>
            <w:r>
              <w:rPr>
                <w:b/>
                <w:bCs/>
                <w:color w:val="1A1A1A"/>
                <w:sz w:val="18"/>
                <w:szCs w:val="18"/>
              </w:rPr>
              <w:t xml:space="preserve">Total conocido</w:t>
            </w:r>
          </w:p>
        </w:tc>
        <w:tc>
          <w:tcPr>
            <w:tcW w:type="dxa" w:w="1600"/>
            <w:shd w:fill="E6E0D6" w:color="auto" w:val="clear"/>
            <w:tcMar>
              <w:top w:type="dxa" w:w="80"/>
              <w:left w:type="dxa" w:w="110"/>
              <w:bottom w:type="dxa" w:w="80"/>
              <w:right w:type="dxa" w:w="110"/>
            </w:tcMar>
          </w:tcPr>
          <w:p>
            <w:pPr>
              <w:spacing w:after="0" w:line="252"/>
            </w:pPr>
            <w:r>
              <w:rPr>
                <w:b w:val="false"/>
                <w:bCs w:val="false"/>
                <w:color w:val="1A1A1A"/>
                <w:sz w:val="18"/>
                <w:szCs w:val="18"/>
              </w:rPr>
              <w:t xml:space="preserve"/>
            </w:r>
          </w:p>
        </w:tc>
        <w:tc>
          <w:tcPr>
            <w:tcW w:type="dxa" w:w="2400"/>
            <w:shd w:fill="E6E0D6" w:color="auto" w:val="clear"/>
            <w:tcMar>
              <w:top w:type="dxa" w:w="80"/>
              <w:left w:type="dxa" w:w="110"/>
              <w:bottom w:type="dxa" w:w="80"/>
              <w:right w:type="dxa" w:w="110"/>
            </w:tcMar>
          </w:tcPr>
          <w:p>
            <w:pPr>
              <w:spacing w:after="0" w:line="252"/>
            </w:pPr>
            <w:r>
              <w:rPr>
                <w:b/>
                <w:bCs/>
                <w:color w:val="1A1A1A"/>
                <w:sz w:val="18"/>
                <w:szCs w:val="18"/>
              </w:rPr>
              <w:t xml:space="preserve">287 puntos</w:t>
            </w:r>
          </w:p>
        </w:tc>
        <w:tc>
          <w:tcPr>
            <w:tcW w:type="dxa" w:w="2526"/>
            <w:shd w:fill="E6E0D6" w:color="auto" w:val="clear"/>
            <w:tcMar>
              <w:top w:type="dxa" w:w="80"/>
              <w:left w:type="dxa" w:w="110"/>
              <w:bottom w:type="dxa" w:w="80"/>
              <w:right w:type="dxa" w:w="110"/>
            </w:tcMar>
          </w:tcPr>
          <w:p>
            <w:pPr>
              <w:spacing w:after="0" w:line="252"/>
            </w:pPr>
            <w:r>
              <w:rPr>
                <w:b/>
                <w:bCs/>
                <w:color w:val="1A1A1A"/>
                <w:sz w:val="18"/>
                <w:szCs w:val="18"/>
              </w:rPr>
              <w:t xml:space="preserve">6,24%</w:t>
            </w:r>
          </w:p>
        </w:tc>
      </w:tr>
    </w:tbl>
    <w:p>
      <w:pPr>
        <w:spacing w:after="140" w:before="100" w:line="276"/>
      </w:pPr>
      <w:r>
        <w:rPr>
          <w:b/>
          <w:bCs/>
          <w:color w:val="1A1A1A"/>
          <w:sz w:val="20"/>
          <w:szCs w:val="20"/>
        </w:rPr>
        <w:t xml:space="preserve">6,24% de las ventas totales equivale a 9,9% del negocio food service, cada año. </w:t>
      </w:r>
      <w:r>
        <w:rPr>
          <w:color w:val="1A1A1A"/>
          <w:sz w:val="20"/>
          <w:szCs w:val="20"/>
        </w:rPr>
        <w:t xml:space="preserve">Son la misma cantidad de dinero medida contra dos bases distintas: la primera contra toda la compañía, la segunda contra el negocio donde la fuga efectivamente ocurre.</w:t>
      </w:r>
    </w:p>
    <w:p>
      <w:pPr>
        <w:spacing w:after="160" w:before="0" w:line="276"/>
      </w:pPr>
      <w:r>
        <w:rPr>
          <w:b/>
          <w:bCs/>
          <w:color w:val="A8482A"/>
          <w:sz w:val="17"/>
          <w:szCs w:val="17"/>
        </w:rPr>
        <w:t xml:space="preserve">Nota. </w:t>
      </w:r>
      <w:r>
        <w:rPr>
          <w:i/>
          <w:iCs/>
          <w:color w:val="595959"/>
          <w:sz w:val="17"/>
          <w:szCs w:val="17"/>
        </w:rPr>
        <w:t xml:space="preserve">Supuesto de la derivación: el punto que se va factura como el punto promedio de su canal. El caso no entrega venta desagregada por punto. Si los que se van fueran más pequeños que el promedio, la fuga vale menos; si fueran más grandes, más. La pérdida de venta (9,9%) supera a la pérdida de puntos (8,5%) porque el canal con mayor churn es también el de puntos más valiosos.</w:t>
      </w:r>
    </w:p>
    <w:p>
      <w:pPr>
        <w:pStyle w:val="Heading2"/>
        <w:spacing w:after="120" w:before="280"/>
      </w:pPr>
      <w:r>
        <w:t xml:space="preserve">4.4 Lo que la fuga significa contra la meta del año</w:t>
      </w:r>
    </w:p>
    <w:p>
      <w:pPr>
        <w:spacing w:after="120" w:before="0" w:line="276"/>
      </w:pPr>
      <w:r>
        <w:rPr>
          <w:color w:val="1A1A1A"/>
          <w:sz w:val="20"/>
          <w:szCs w:val="20"/>
        </w:rPr>
        <w:t xml:space="preserve">La empresa se comprometió a incrementar en 12% las ventas de food service en doce meses [C]. Al mismo tiempo, pierde cerca del 9,9% de ese mismo negocio por no-recompra. Tomando el food service como índice 100:</w:t>
      </w:r>
    </w:p>
    <w:p>
      <w:pPr>
        <w:shd w:fill="F5F3EE" w:color="auto" w:val="clear"/>
        <w:spacing w:after="0" w:line="240"/>
      </w:pPr>
      <w:r>
        <w:rPr>
          <w:rFonts w:ascii="Consolas" w:cs="Consolas" w:eastAsia="Consolas" w:hAnsi="Consolas"/>
          <w:color w:val="1A1A1A"/>
          <w:sz w:val="17"/>
          <w:szCs w:val="17"/>
        </w:rPr>
        <w:t xml:space="preserve">  Base food service ....................... 100,0</w:t>
      </w:r>
    </w:p>
    <w:p>
      <w:pPr>
        <w:shd w:fill="F5F3EE" w:color="auto" w:val="clear"/>
        <w:spacing w:after="0" w:line="240"/>
      </w:pPr>
      <w:r>
        <w:rPr>
          <w:rFonts w:ascii="Consolas" w:cs="Consolas" w:eastAsia="Consolas" w:hAnsi="Consolas"/>
          <w:color w:val="1A1A1A"/>
          <w:sz w:val="17"/>
          <w:szCs w:val="17"/>
        </w:rPr>
        <w:t xml:space="preserve">  − fuga anual por no-recompra ............  − 9,9</w:t>
      </w:r>
    </w:p>
    <w:p>
      <w:pPr>
        <w:shd w:fill="F5F3EE" w:color="auto" w:val="clear"/>
        <w:spacing w:after="0" w:line="240"/>
      </w:pPr>
      <w:r>
        <w:rPr>
          <w:rFonts w:ascii="Consolas" w:cs="Consolas" w:eastAsia="Consolas" w:hAnsi="Consolas"/>
          <w:color w:val="1A1A1A"/>
          <w:sz w:val="17"/>
          <w:szCs w:val="17"/>
        </w:rPr>
        <w:t xml:space="preserve">  ─────────────────────────────────────────────────</w:t>
      </w:r>
    </w:p>
    <w:p>
      <w:pPr>
        <w:shd w:fill="F5F3EE" w:color="auto" w:val="clear"/>
        <w:spacing w:after="0" w:line="240"/>
      </w:pPr>
      <w:r>
        <w:rPr>
          <w:rFonts w:ascii="Consolas" w:cs="Consolas" w:eastAsia="Consolas" w:hAnsi="Consolas"/>
          <w:color w:val="1A1A1A"/>
          <w:sz w:val="17"/>
          <w:szCs w:val="17"/>
        </w:rPr>
        <w:t xml:space="preserve">  Punto de partida real ...................  90,1</w:t>
      </w:r>
    </w:p>
    <w:p>
      <w:pPr>
        <w:shd w:fill="F5F3EE" w:color="auto" w:val="clear"/>
        <w:spacing w:after="0" w:line="240"/>
      </w:pPr>
      <w:r>
        <w:rPr>
          <w:rFonts w:ascii="Consolas" w:cs="Consolas" w:eastAsia="Consolas" w:hAnsi="Consolas"/>
          <w:color w:val="1A1A1A"/>
          <w:sz w:val="17"/>
          <w:szCs w:val="17"/>
        </w:rPr>
        <w:t xml:space="preserve">  Meta comprometida ....................... 112,0</w:t>
      </w:r>
    </w:p>
    <w:p>
      <w:pPr>
        <w:shd w:fill="F5F3EE" w:color="auto" w:val="clear"/>
        <w:spacing w:after="0" w:line="240"/>
      </w:pPr>
      <w:r>
        <w:rPr>
          <w:rFonts w:ascii="Consolas" w:cs="Consolas" w:eastAsia="Consolas" w:hAnsi="Consolas"/>
          <w:color w:val="1A1A1A"/>
          <w:sz w:val="17"/>
          <w:szCs w:val="17"/>
        </w:rPr>
        <w:t xml:space="preserve">  ─────────────────────────────────────────────────</w:t>
      </w:r>
    </w:p>
    <w:p>
      <w:pPr>
        <w:shd w:fill="F5F3EE" w:color="auto" w:val="clear"/>
        <w:spacing w:after="0" w:line="240"/>
      </w:pPr>
      <w:r>
        <w:rPr>
          <w:rFonts w:ascii="Consolas" w:cs="Consolas" w:eastAsia="Consolas" w:hAnsi="Consolas"/>
          <w:color w:val="1A1A1A"/>
          <w:sz w:val="17"/>
          <w:szCs w:val="17"/>
        </w:rPr>
        <w:t xml:space="preserve">  Venta nueva que hay que traer ........... + 21,9</w:t>
      </w:r>
    </w:p>
    <w:p>
      <w:pPr>
        <w:shd w:fill="F5F3EE" w:color="auto" w:val="clear"/>
        <w:spacing w:after="0" w:line="240"/>
      </w:pPr>
      <w:r>
        <w:rPr>
          <w:rFonts w:ascii="Consolas" w:cs="Consolas" w:eastAsia="Consolas" w:hAnsi="Consolas"/>
          <w:color w:val="1A1A1A"/>
          <w:sz w:val="17"/>
          <w:szCs w:val="17"/>
        </w:rPr>
        <w:t xml:space="preserve"/>
      </w:r>
    </w:p>
    <w:p>
      <w:pPr>
        <w:shd w:fill="F5F3EE" w:color="auto" w:val="clear"/>
        <w:spacing w:after="0" w:line="240"/>
      </w:pPr>
      <w:r>
        <w:rPr>
          <w:rFonts w:ascii="Consolas" w:cs="Consolas" w:eastAsia="Consolas" w:hAnsi="Consolas"/>
          <w:color w:val="1A1A1A"/>
          <w:sz w:val="17"/>
          <w:szCs w:val="17"/>
        </w:rPr>
        <w:t xml:space="preserve">  De esos 21,9:   9,9 reponen lo perdido</w:t>
      </w:r>
    </w:p>
    <w:p>
      <w:pPr>
        <w:shd w:fill="F5F3EE" w:color="auto" w:val="clear"/>
        <w:spacing w:after="0" w:line="240"/>
      </w:pPr>
      <w:r>
        <w:rPr>
          <w:rFonts w:ascii="Consolas" w:cs="Consolas" w:eastAsia="Consolas" w:hAnsi="Consolas"/>
          <w:color w:val="1A1A1A"/>
          <w:sz w:val="17"/>
          <w:szCs w:val="17"/>
        </w:rPr>
        <w:t xml:space="preserve">                 12,0 son crecimiento real</w:t>
      </w:r>
    </w:p>
    <w:p>
      <w:pPr>
        <w:shd w:fill="F5F3EE" w:color="auto" w:val="clear"/>
        <w:spacing w:after="0" w:line="240"/>
      </w:pPr>
      <w:r>
        <w:rPr>
          <w:rFonts w:ascii="Consolas" w:cs="Consolas" w:eastAsia="Consolas" w:hAnsi="Consolas"/>
          <w:color w:val="1A1A1A"/>
          <w:sz w:val="17"/>
          <w:szCs w:val="17"/>
        </w:rPr>
        <w:t xml:space="preserve"/>
      </w:r>
    </w:p>
    <w:p>
      <w:pPr>
        <w:shd w:fill="F5F3EE" w:color="auto" w:val="clear"/>
        <w:spacing w:after="140" w:line="240"/>
      </w:pPr>
      <w:r>
        <w:rPr>
          <w:rFonts w:ascii="Consolas" w:cs="Consolas" w:eastAsia="Consolas" w:hAnsi="Consolas"/>
          <w:color w:val="1A1A1A"/>
          <w:sz w:val="17"/>
          <w:szCs w:val="17"/>
        </w:rPr>
        <w:t xml:space="preserve">  9,9 ÷ 21,9 = 45%</w:t>
      </w:r>
    </w:p>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2"/>
          <w:szCs w:val="22"/>
        </w:rPr>
        <w:t xml:space="preserve">El 45% del esfuerzo comercial del año se consume reponiendo lo que se fuga por la puerta de atrás.</w:t>
      </w:r>
    </w:p>
    <w:p>
      <w:pPr>
        <w:spacing w:after="120" w:before="0" w:line="276"/>
      </w:pPr>
      <w:r>
        <w:rPr>
          <w:color w:val="1A1A1A"/>
          <w:sz w:val="20"/>
          <w:szCs w:val="20"/>
        </w:rPr>
        <w:t xml:space="preserve">Dicho de otro modo: de cada cien pesos de venta nueva que traiga el equipo comercial este año, cuarenta y cinco no son crecimiento sino reposición. Y el fenómeno se agrava con el tiempo, porque la fuga se aplica sobre una base cada vez mayor: el esfuerzo bruto necesario pasa de 21,9 el primer año a 24,5 el segundo y 27,5 el tercero, manteniendo siempre la misma proporción de desperdicio.</w:t>
      </w:r>
    </w:p>
    <w:p>
      <w:pPr>
        <w:spacing w:after="120" w:before="0" w:line="276"/>
      </w:pPr>
      <w:r>
        <w:rPr>
          <w:color w:val="1A1A1A"/>
          <w:sz w:val="20"/>
          <w:szCs w:val="20"/>
        </w:rPr>
        <w:t xml:space="preserve">A la inversa, la meta de retención del propio caso —elevar la retención anual de clientes B2B de 86% a 90%— recupera 46 puntos Horeca al año, equivalentes a 1,44% de las ventas totales o 2,29% del food service, sin abrir un solo punto nuevo ni gastar un peso en captación. Esos 46 puntos representan el 17% de la meta de expansión del año, que es de 271 puntos nuevos.</w:t>
      </w:r>
    </w:p>
    <w:p>
      <w:pPr>
        <w:spacing w:after="160" w:before="0" w:line="276"/>
      </w:pPr>
      <w:r>
        <w:rPr>
          <w:b/>
          <w:bCs/>
          <w:color w:val="A8482A"/>
          <w:sz w:val="17"/>
          <w:szCs w:val="17"/>
        </w:rPr>
        <w:t xml:space="preserve">Nota. </w:t>
      </w:r>
      <w:r>
        <w:rPr>
          <w:i/>
          <w:iCs/>
          <w:color w:val="595959"/>
          <w:sz w:val="17"/>
          <w:szCs w:val="17"/>
        </w:rPr>
        <w:t xml:space="preserve">El caso declara la meta de retención como “de 86% a 90%” sin especificar si el 86% corresponde a Horeca o al agregado B2B. Como OCS ya está en 90% y los otros dos canales no tienen línea base, se adopta la lectura de que el 86% corresponde a Horeca, que es la única que cierra aritméticamente. Bajo la lectura alternativa —86% como agregado de los 3.390 puntos— el resultado sería de 136 puntos y no de 46. Se recomienda confirmar el criterio con el docente antes de la entrega final.</w:t>
      </w:r>
    </w:p>
    <w:p>
      <w:pPr>
        <w:pStyle w:val="Heading2"/>
        <w:spacing w:after="120" w:before="280"/>
      </w:pPr>
      <w:r>
        <w:t xml:space="preserve">4.5 El punto de fuga más grande es el que no se puede ver</w:t>
      </w:r>
    </w:p>
    <w:p>
      <w:pPr>
        <w:spacing w:after="120" w:before="0" w:line="276"/>
      </w:pPr>
      <w:r>
        <w:rPr>
          <w:color w:val="1A1A1A"/>
          <w:sz w:val="20"/>
          <w:szCs w:val="20"/>
        </w:rPr>
        <w:t xml:space="preserve">De las tres etapas del funnel, solo la fidelización tiene fuga medible. Consideración y conversión no la tienen, y no porque no exista, sino porque no hay con qué medirla: no existe volumen base de leads ni definición de lead calificado, y dos de los cuatro canales no reportan retención.</w:t>
      </w:r>
    </w:p>
    <w:p>
      <w:pPr>
        <w:pBdr>
          <w:top w:val="single" w:color="5B6446" w:sz="2"/>
          <w:bottom w:val="single" w:color="5B6446" w:sz="2"/>
          <w:left w:val="single" w:color="5B6446" w:sz="12"/>
          <w:right w:val="single" w:color="5B6446" w:sz="2"/>
        </w:pBdr>
        <w:shd w:fill="EFF2EA" w:color="auto" w:val="clear"/>
        <w:spacing w:after="160" w:before="140" w:line="276"/>
      </w:pPr>
      <w:r>
        <w:rPr>
          <w:b/>
          <w:bCs/>
          <w:color w:val="1A1A1A"/>
          <w:sz w:val="20"/>
          <w:szCs w:val="20"/>
        </w:rPr>
        <w:t xml:space="preserve">Los 6,24% que se pueden valorizar son el piso, no el total. La ceguera no es un problema paralelo al del embudo: es lo que impide medir el embudo.</w:t>
      </w:r>
    </w:p>
    <w:p>
      <w:r>
        <w:br w:type="page"/>
      </w:r>
    </w:p>
    <w:p>
      <w:pPr>
        <w:pStyle w:val="Heading1"/>
        <w:spacing w:after="160" w:before="360"/>
      </w:pPr>
      <w:r>
        <w:t xml:space="preserve">5. Por qué la respuesta obvia no alcanza</w:t>
      </w:r>
    </w:p>
    <w:p>
      <w:pPr>
        <w:spacing w:after="120" w:before="0" w:line="276"/>
      </w:pPr>
      <w:r>
        <w:rPr>
          <w:color w:val="1A1A1A"/>
          <w:sz w:val="20"/>
          <w:szCs w:val="20"/>
        </w:rPr>
        <w:t xml:space="preserve">La solución evidente ante este diagnóstico es un portal transaccional más telemetría en las máquinas. Está al alcance de cualquier equipo que lea el mismo caso, y por eso el valor no está en identificarla sino en reconocer qué deja fuera.</w:t>
      </w:r>
    </w:p>
    <w:p>
      <w:pPr>
        <w:spacing w:after="120" w:before="0" w:line="276"/>
      </w:pPr>
      <w:r>
        <w:rPr>
          <w:color w:val="1A1A1A"/>
          <w:sz w:val="20"/>
          <w:szCs w:val="20"/>
        </w:rPr>
        <w:t xml:space="preserve">Un portal transaccional digitaliza el pedido, pero solo donde el cliente le compra directamente a Marley. Un módulo de telemetría lee la máquina, pero mide tazas preparadas y no tazas vendidas, y requiere conectividad dentro del local de un tercero.</w:t>
      </w:r>
    </w:p>
    <w:p>
      <w:pPr>
        <w:spacing w:after="120" w:before="0" w:line="276"/>
      </w:pPr>
      <w:r>
        <w:rPr>
          <w:color w:val="1A1A1A"/>
          <w:sz w:val="20"/>
          <w:szCs w:val="20"/>
        </w:rPr>
        <w:t xml:space="preserve">Ninguna de las dos resuelve la causa que fija el perímetro de todo lo demás: los 840 puntos donde la información llega mensual, agregada y heterogénea desde un tercero, o simplemente no llega. Allí Marley no controla el punto, ni el precio, ni el dato.</w:t>
      </w:r>
    </w:p>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2"/>
          <w:szCs w:val="22"/>
        </w:rPr>
        <w:t xml:space="preserve">La solución obvia ilumina lo que Marley ya controla y deja a oscuras precisamente lo que 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2B2B2B" w:color="auto" w:val="clear"/>
            <w:tcMar>
              <w:top w:type="dxa" w:w="80"/>
              <w:left w:type="dxa" w:w="110"/>
              <w:bottom w:type="dxa" w:w="80"/>
              <w:right w:type="dxa" w:w="110"/>
            </w:tcMar>
          </w:tcPr>
          <w:p>
            <w:pPr>
              <w:spacing w:after="0" w:line="252"/>
            </w:pPr>
            <w:r>
              <w:rPr>
                <w:b/>
                <w:bCs/>
                <w:color w:val="FFFFFF"/>
                <w:sz w:val="16"/>
                <w:szCs w:val="16"/>
              </w:rPr>
              <w:t xml:space="preserve">Cifra</w:t>
            </w:r>
          </w:p>
        </w:tc>
        <w:tc>
          <w:tcPr>
            <w:tcW w:type="dxa" w:w="6026"/>
            <w:shd w:fill="2B2B2B" w:color="auto" w:val="clear"/>
            <w:tcMar>
              <w:top w:type="dxa" w:w="80"/>
              <w:left w:type="dxa" w:w="110"/>
              <w:bottom w:type="dxa" w:w="80"/>
              <w:right w:type="dxa" w:w="110"/>
            </w:tcMar>
          </w:tcPr>
          <w:p>
            <w:pPr>
              <w:spacing w:after="0" w:line="252"/>
            </w:pPr>
            <w:r>
              <w:rPr>
                <w:b/>
                <w:bCs/>
                <w:color w:val="FFFFFF"/>
                <w:sz w:val="16"/>
                <w:szCs w:val="16"/>
              </w:rPr>
              <w:t xml:space="preserve">Qué indica</w:t>
            </w:r>
          </w:p>
        </w:tc>
      </w:tr>
      <w:tr>
        <w:trPr>
          <w:tblHeader w:val="false"/>
        </w:trPr>
        <w:tc>
          <w:tcPr>
            <w:tcW w:type="dxa" w:w="3000"/>
            <w:tcMar>
              <w:top w:type="dxa" w:w="80"/>
              <w:left w:type="dxa" w:w="110"/>
              <w:bottom w:type="dxa" w:w="80"/>
              <w:right w:type="dxa" w:w="110"/>
            </w:tcMar>
          </w:tcPr>
          <w:p>
            <w:pPr>
              <w:spacing w:after="0" w:line="252"/>
            </w:pPr>
            <w:r>
              <w:rPr>
                <w:b/>
                <w:bCs/>
                <w:color w:val="1A1A1A"/>
                <w:sz w:val="18"/>
                <w:szCs w:val="18"/>
              </w:rPr>
              <w:t xml:space="preserve">2.100 puntos (62%)</w:t>
            </w:r>
          </w:p>
        </w:tc>
        <w:tc>
          <w:tcPr>
            <w:tcW w:type="dxa" w:w="6026"/>
            <w:tcMar>
              <w:top w:type="dxa" w:w="80"/>
              <w:left w:type="dxa" w:w="110"/>
              <w:bottom w:type="dxa" w:w="80"/>
              <w:right w:type="dxa" w:w="110"/>
            </w:tcMar>
          </w:tcPr>
          <w:p>
            <w:pPr>
              <w:spacing w:after="0" w:line="252"/>
            </w:pPr>
            <w:r>
              <w:rPr>
                <w:b w:val="false"/>
                <w:bCs w:val="false"/>
                <w:color w:val="1A1A1A"/>
                <w:sz w:val="18"/>
                <w:szCs w:val="18"/>
              </w:rPr>
              <w:t xml:space="preserve">Alcance del portal: Horeca y OCS de atención directa, donde Marley vende sin intermediario</w:t>
            </w:r>
          </w:p>
        </w:tc>
      </w:tr>
      <w:tr>
        <w:trPr>
          <w:tblHeader w:val="false"/>
        </w:trPr>
        <w:tc>
          <w:tcPr>
            <w:tcW w:type="dxa" w:w="3000"/>
            <w:shd w:fill="F2EFE9" w:color="auto" w:val="clear"/>
            <w:tcMar>
              <w:top w:type="dxa" w:w="80"/>
              <w:left w:type="dxa" w:w="110"/>
              <w:bottom w:type="dxa" w:w="80"/>
              <w:right w:type="dxa" w:w="110"/>
            </w:tcMar>
          </w:tcPr>
          <w:p>
            <w:pPr>
              <w:spacing w:after="0" w:line="252"/>
            </w:pPr>
            <w:r>
              <w:rPr>
                <w:b/>
                <w:bCs/>
                <w:color w:val="1A1A1A"/>
                <w:sz w:val="18"/>
                <w:szCs w:val="18"/>
              </w:rPr>
              <w:t xml:space="preserve">840 puntos</w:t>
            </w:r>
          </w:p>
        </w:tc>
        <w:tc>
          <w:tcPr>
            <w:tcW w:type="dxa" w:w="6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Detrás de un tercero, con dato mensual, agregado o inexistente</w:t>
            </w:r>
          </w:p>
        </w:tc>
      </w:tr>
      <w:tr>
        <w:trPr>
          <w:tblHeader w:val="false"/>
        </w:trPr>
        <w:tc>
          <w:tcPr>
            <w:tcW w:type="dxa" w:w="3000"/>
            <w:tcMar>
              <w:top w:type="dxa" w:w="80"/>
              <w:left w:type="dxa" w:w="110"/>
              <w:bottom w:type="dxa" w:w="80"/>
              <w:right w:type="dxa" w:w="110"/>
            </w:tcMar>
          </w:tcPr>
          <w:p>
            <w:pPr>
              <w:spacing w:after="0" w:line="252"/>
            </w:pPr>
            <w:r>
              <w:rPr>
                <w:b/>
                <w:bCs/>
                <w:color w:val="1A1A1A"/>
                <w:sz w:val="18"/>
                <w:szCs w:val="18"/>
              </w:rPr>
              <w:t xml:space="preserve">26%</w:t>
            </w:r>
          </w:p>
        </w:tc>
        <w:tc>
          <w:tcPr>
            <w:tcW w:type="dxa" w:w="6026"/>
            <w:tcMar>
              <w:top w:type="dxa" w:w="80"/>
              <w:left w:type="dxa" w:w="110"/>
              <w:bottom w:type="dxa" w:w="80"/>
              <w:right w:type="dxa" w:w="110"/>
            </w:tcMar>
          </w:tcPr>
          <w:p>
            <w:pPr>
              <w:spacing w:after="0" w:line="252"/>
            </w:pPr>
            <w:r>
              <w:rPr>
                <w:b w:val="false"/>
                <w:bCs w:val="false"/>
                <w:color w:val="1A1A1A"/>
                <w:sz w:val="18"/>
                <w:szCs w:val="18"/>
              </w:rPr>
              <w:t xml:space="preserve">De las cuentas B2B tiene ficha completa en el CRM (65% de cobertura × 40% de completitud)</w:t>
            </w:r>
          </w:p>
        </w:tc>
      </w:tr>
      <w:tr>
        <w:trPr>
          <w:tblHeader w:val="false"/>
        </w:trPr>
        <w:tc>
          <w:tcPr>
            <w:tcW w:type="dxa" w:w="3000"/>
            <w:shd w:fill="F2EFE9" w:color="auto" w:val="clear"/>
            <w:tcMar>
              <w:top w:type="dxa" w:w="80"/>
              <w:left w:type="dxa" w:w="110"/>
              <w:bottom w:type="dxa" w:w="80"/>
              <w:right w:type="dxa" w:w="110"/>
            </w:tcMar>
          </w:tcPr>
          <w:p>
            <w:pPr>
              <w:spacing w:after="0" w:line="252"/>
            </w:pPr>
            <w:r>
              <w:rPr>
                <w:b/>
                <w:bCs/>
                <w:color w:val="1A1A1A"/>
                <w:sz w:val="18"/>
                <w:szCs w:val="18"/>
              </w:rPr>
              <w:t xml:space="preserve">75%</w:t>
            </w:r>
          </w:p>
        </w:tc>
        <w:tc>
          <w:tcPr>
            <w:tcW w:type="dxa" w:w="6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De los tickets identifica la máquina, y el sistema no está integrado con CRM ni con ventas</w:t>
            </w:r>
          </w:p>
        </w:tc>
      </w:tr>
      <w:tr>
        <w:trPr>
          <w:tblHeader w:val="false"/>
        </w:trPr>
        <w:tc>
          <w:tcPr>
            <w:tcW w:type="dxa" w:w="3000"/>
            <w:tcMar>
              <w:top w:type="dxa" w:w="80"/>
              <w:left w:type="dxa" w:w="110"/>
              <w:bottom w:type="dxa" w:w="80"/>
              <w:right w:type="dxa" w:w="110"/>
            </w:tcMar>
          </w:tcPr>
          <w:p>
            <w:pPr>
              <w:spacing w:after="0" w:line="252"/>
            </w:pPr>
            <w:r>
              <w:rPr>
                <w:b/>
                <w:bCs/>
                <w:color w:val="1A1A1A"/>
                <w:sz w:val="18"/>
                <w:szCs w:val="18"/>
              </w:rPr>
              <w:t xml:space="preserve">Menos de un tercio</w:t>
            </w:r>
          </w:p>
        </w:tc>
        <w:tc>
          <w:tcPr>
            <w:tcW w:type="dxa" w:w="6026"/>
            <w:tcMar>
              <w:top w:type="dxa" w:w="80"/>
              <w:left w:type="dxa" w:w="110"/>
              <w:bottom w:type="dxa" w:w="80"/>
              <w:right w:type="dxa" w:w="110"/>
            </w:tcMar>
          </w:tcPr>
          <w:p>
            <w:pPr>
              <w:spacing w:after="0" w:line="252"/>
            </w:pPr>
            <w:r>
              <w:rPr>
                <w:b w:val="false"/>
                <w:bCs w:val="false"/>
                <w:color w:val="1A1A1A"/>
                <w:sz w:val="18"/>
                <w:szCs w:val="18"/>
              </w:rPr>
              <w:t xml:space="preserve">De los casos permite reconstruir la cadena cliente → punto → máquina → pedido → incidencia</w:t>
            </w:r>
          </w:p>
        </w:tc>
      </w:tr>
    </w:tbl>
    <w:p>
      <w:pPr>
        <w:pStyle w:val="Heading1"/>
        <w:spacing w:after="160" w:before="360"/>
      </w:pPr>
      <w:r>
        <w:t xml:space="preserve">6. El hallazgo que cambia la solución</w:t>
      </w:r>
    </w:p>
    <w:p>
      <w:pPr>
        <w:spacing w:after="120" w:before="0" w:line="276"/>
      </w:pPr>
      <w:r>
        <w:rPr>
          <w:color w:val="1A1A1A"/>
          <w:sz w:val="20"/>
          <w:szCs w:val="20"/>
        </w:rPr>
        <w:t xml:space="preserve">La formulación de la causa raíz sostiene que no existe ninguna fuente que registre consumo en el punto. Esa afirmación es correcta desde la perspectiva de Marley, pero incompleta desde la del sistema: en Chile la emisión de boleta electrónica es obligatoria para todos los contribuyentes desde marzo de 2021 [P].</w:t>
      </w:r>
    </w:p>
    <w:p>
      <w:pPr>
        <w:spacing w:after="120" w:before="0" w:line="276"/>
      </w:pPr>
      <w:r>
        <w:rPr>
          <w:color w:val="1A1A1A"/>
          <w:sz w:val="20"/>
          <w:szCs w:val="20"/>
        </w:rPr>
        <w:t xml:space="preserve">Cuando la cajera de una panadería cobra un café, esa venta entra a un sistema por obligación legal: qué se vendió, cuándo, cuánto y a qué precio. El punto emite un documento tributario electrónico sin excepción. A ello se suma que, desde el 1 de marzo de 2026, los comercios sin impresora deben entregar la boleta en formato digital, por correo, SMS, WhatsApp o código QR [P].</w:t>
      </w:r>
    </w:p>
    <w:p>
      <w:pPr>
        <w:pBdr>
          <w:top w:val="single" w:color="A8482A" w:sz="2"/>
          <w:bottom w:val="single" w:color="A8482A" w:sz="2"/>
          <w:left w:val="single" w:color="A8482A" w:sz="12"/>
          <w:right w:val="single" w:color="A8482A" w:sz="2"/>
        </w:pBdr>
        <w:shd w:fill="FBF0EA" w:color="auto" w:val="clear"/>
        <w:spacing w:after="160" w:before="140" w:line="276"/>
      </w:pPr>
      <w:r>
        <w:rPr>
          <w:b/>
          <w:bCs/>
          <w:color w:val="1A1A1A"/>
          <w:sz w:val="22"/>
          <w:szCs w:val="22"/>
        </w:rPr>
        <w:t xml:space="preserve">La señal existe. Lo que no ocurre es que pertenezca a Marley. El problema deja de ser instalar sensores y pasa a ser negociar acceso.</w:t>
      </w:r>
    </w:p>
    <w:p>
      <w:pPr>
        <w:spacing w:after="120" w:before="0" w:line="276"/>
      </w:pPr>
      <w:r>
        <w:rPr>
          <w:color w:val="1A1A1A"/>
          <w:sz w:val="20"/>
          <w:szCs w:val="20"/>
        </w:rPr>
        <w:t xml:space="preserve">La consecuencia económica es directa. Un sensor cuesta hardware por máquina, conectividad por punto y autorización del operador para intervenir su local. Una integración por interfaz de programación cuesta una vez y escala sola: cada punto nuevo que use el mismo sistema se conecta con una autorización, no con una instalación.</w:t>
      </w:r>
    </w:p>
    <w:p>
      <w:pPr>
        <w:pStyle w:val="Heading3"/>
        <w:spacing w:after="100" w:before="220"/>
      </w:pPr>
      <w:r>
        <w:t xml:space="preserve">Verificación técnica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shd w:fill="2B2B2B" w:color="auto" w:val="clear"/>
            <w:tcMar>
              <w:top w:type="dxa" w:w="80"/>
              <w:left w:type="dxa" w:w="110"/>
              <w:bottom w:type="dxa" w:w="80"/>
              <w:right w:type="dxa" w:w="110"/>
            </w:tcMar>
          </w:tcPr>
          <w:p>
            <w:pPr>
              <w:spacing w:after="0" w:line="252"/>
            </w:pPr>
            <w:r>
              <w:rPr>
                <w:b/>
                <w:bCs/>
                <w:color w:val="FFFFFF"/>
                <w:sz w:val="16"/>
                <w:szCs w:val="16"/>
              </w:rPr>
              <w:t xml:space="preserve">Sistema</w:t>
            </w:r>
          </w:p>
        </w:tc>
        <w:tc>
          <w:tcPr>
            <w:tcW w:type="dxa" w:w="3600"/>
            <w:shd w:fill="2B2B2B" w:color="auto" w:val="clear"/>
            <w:tcMar>
              <w:top w:type="dxa" w:w="80"/>
              <w:left w:type="dxa" w:w="110"/>
              <w:bottom w:type="dxa" w:w="80"/>
              <w:right w:type="dxa" w:w="110"/>
            </w:tcMar>
          </w:tcPr>
          <w:p>
            <w:pPr>
              <w:spacing w:after="0" w:line="252"/>
            </w:pPr>
            <w:r>
              <w:rPr>
                <w:b/>
                <w:bCs/>
                <w:color w:val="FFFFFF"/>
                <w:sz w:val="16"/>
                <w:szCs w:val="16"/>
              </w:rPr>
              <w:t xml:space="preserve">Capacidad verificada</w:t>
            </w:r>
          </w:p>
        </w:tc>
        <w:tc>
          <w:tcPr>
            <w:tcW w:type="dxa" w:w="3526"/>
            <w:shd w:fill="2B2B2B" w:color="auto" w:val="clear"/>
            <w:tcMar>
              <w:top w:type="dxa" w:w="80"/>
              <w:left w:type="dxa" w:w="110"/>
              <w:bottom w:type="dxa" w:w="80"/>
              <w:right w:type="dxa" w:w="110"/>
            </w:tcMar>
          </w:tcPr>
          <w:p>
            <w:pPr>
              <w:spacing w:after="0" w:line="252"/>
            </w:pPr>
            <w:r>
              <w:rPr>
                <w:b/>
                <w:bCs/>
                <w:color w:val="FFFFFF"/>
                <w:sz w:val="16"/>
                <w:szCs w:val="16"/>
              </w:rPr>
              <w:t xml:space="preserve">Estado</w:t>
            </w:r>
          </w:p>
        </w:tc>
      </w:tr>
      <w:tr>
        <w:trPr>
          <w:tblHeader w:val="false"/>
        </w:trPr>
        <w:tc>
          <w:tcPr>
            <w:tcW w:type="dxa" w:w="1900"/>
            <w:tcMar>
              <w:top w:type="dxa" w:w="80"/>
              <w:left w:type="dxa" w:w="110"/>
              <w:bottom w:type="dxa" w:w="80"/>
              <w:right w:type="dxa" w:w="110"/>
            </w:tcMar>
          </w:tcPr>
          <w:p>
            <w:pPr>
              <w:spacing w:after="0" w:line="252"/>
            </w:pPr>
            <w:r>
              <w:rPr>
                <w:b/>
                <w:bCs/>
                <w:color w:val="1A1A1A"/>
                <w:sz w:val="18"/>
                <w:szCs w:val="18"/>
              </w:rPr>
              <w:t xml:space="preserve">Bsale</w:t>
            </w:r>
          </w:p>
        </w:tc>
        <w:tc>
          <w:tcPr>
            <w:tcW w:type="dxa" w:w="3600"/>
            <w:tcMar>
              <w:top w:type="dxa" w:w="80"/>
              <w:left w:type="dxa" w:w="110"/>
              <w:bottom w:type="dxa" w:w="80"/>
              <w:right w:type="dxa" w:w="110"/>
            </w:tcMar>
          </w:tcPr>
          <w:p>
            <w:pPr>
              <w:spacing w:after="0" w:line="252"/>
            </w:pPr>
            <w:r>
              <w:rPr>
                <w:b w:val="false"/>
                <w:bCs w:val="false"/>
                <w:color w:val="1A1A1A"/>
                <w:sz w:val="18"/>
                <w:szCs w:val="18"/>
              </w:rPr>
              <w:t xml:space="preserve">Interfaz documentada públicamente. El recurso de documentos permite filtrar por sucursal y por rango de fechas; el detalle de cada documento devuelve cantidad y valor por línea de producto. Autenticación OAuth y ambiente de pruebas gratuito.</w:t>
            </w:r>
          </w:p>
        </w:tc>
        <w:tc>
          <w:tcPr>
            <w:tcW w:type="dxa" w:w="3526"/>
            <w:tcMar>
              <w:top w:type="dxa" w:w="80"/>
              <w:left w:type="dxa" w:w="110"/>
              <w:bottom w:type="dxa" w:w="80"/>
              <w:right w:type="dxa" w:w="110"/>
            </w:tcMar>
          </w:tcPr>
          <w:p>
            <w:pPr>
              <w:spacing w:after="0" w:line="252"/>
            </w:pPr>
            <w:r>
              <w:rPr>
                <w:b w:val="false"/>
                <w:bCs w:val="false"/>
                <w:color w:val="1A1A1A"/>
                <w:sz w:val="18"/>
                <w:szCs w:val="18"/>
              </w:rPr>
              <w:t xml:space="preserve">Confirmado en la documentación oficial</w:t>
            </w:r>
          </w:p>
        </w:tc>
      </w:tr>
      <w:tr>
        <w:trPr>
          <w:tblHeader w:val="false"/>
        </w:trPr>
        <w:tc>
          <w:tcPr>
            <w:tcW w:type="dxa" w:w="1900"/>
            <w:shd w:fill="F2EFE9" w:color="auto" w:val="clear"/>
            <w:tcMar>
              <w:top w:type="dxa" w:w="80"/>
              <w:left w:type="dxa" w:w="110"/>
              <w:bottom w:type="dxa" w:w="80"/>
              <w:right w:type="dxa" w:w="110"/>
            </w:tcMar>
          </w:tcPr>
          <w:p>
            <w:pPr>
              <w:spacing w:after="0" w:line="252"/>
            </w:pPr>
            <w:r>
              <w:rPr>
                <w:b/>
                <w:bCs/>
                <w:color w:val="1A1A1A"/>
                <w:sz w:val="18"/>
                <w:szCs w:val="18"/>
              </w:rPr>
              <w:t xml:space="preserve">Toteat</w:t>
            </w:r>
          </w:p>
        </w:tc>
        <w:tc>
          <w:tcPr>
            <w:tcW w:type="dxa" w:w="3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Sistema especializado en cafeterías y restaurantes. Interfaz pública documentada. Cerca de 2.000 locales en Chile según información de años previos.</w:t>
            </w:r>
          </w:p>
        </w:tc>
        <w:tc>
          <w:tcPr>
            <w:tcW w:type="dxa" w:w="35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Confirmado; escala a verificar</w:t>
            </w:r>
          </w:p>
        </w:tc>
      </w:tr>
      <w:tr>
        <w:trPr>
          <w:tblHeader w:val="false"/>
        </w:trPr>
        <w:tc>
          <w:tcPr>
            <w:tcW w:type="dxa" w:w="1900"/>
            <w:tcMar>
              <w:top w:type="dxa" w:w="80"/>
              <w:left w:type="dxa" w:w="110"/>
              <w:bottom w:type="dxa" w:w="80"/>
              <w:right w:type="dxa" w:w="110"/>
            </w:tcMar>
          </w:tcPr>
          <w:p>
            <w:pPr>
              <w:spacing w:after="0" w:line="252"/>
            </w:pPr>
            <w:r>
              <w:rPr>
                <w:b/>
                <w:bCs/>
                <w:color w:val="1A1A1A"/>
                <w:sz w:val="18"/>
                <w:szCs w:val="18"/>
              </w:rPr>
              <w:t xml:space="preserve">Defontana / Tivendo</w:t>
            </w:r>
          </w:p>
        </w:tc>
        <w:tc>
          <w:tcPr>
            <w:tcW w:type="dxa" w:w="3600"/>
            <w:tcMar>
              <w:top w:type="dxa" w:w="80"/>
              <w:left w:type="dxa" w:w="110"/>
              <w:bottom w:type="dxa" w:w="80"/>
              <w:right w:type="dxa" w:w="110"/>
            </w:tcMar>
          </w:tcPr>
          <w:p>
            <w:pPr>
              <w:spacing w:after="0" w:line="252"/>
            </w:pPr>
            <w:r>
              <w:rPr>
                <w:b w:val="false"/>
                <w:bCs w:val="false"/>
                <w:color w:val="1A1A1A"/>
                <w:sz w:val="18"/>
                <w:szCs w:val="18"/>
              </w:rPr>
              <w:t xml:space="preserve">Interfaz REST documentada, pero el acceso a cada módulo se solicita por el área de postventa.</w:t>
            </w:r>
          </w:p>
        </w:tc>
        <w:tc>
          <w:tcPr>
            <w:tcW w:type="dxa" w:w="3526"/>
            <w:tcMar>
              <w:top w:type="dxa" w:w="80"/>
              <w:left w:type="dxa" w:w="110"/>
              <w:bottom w:type="dxa" w:w="80"/>
              <w:right w:type="dxa" w:w="110"/>
            </w:tcMar>
          </w:tcPr>
          <w:p>
            <w:pPr>
              <w:spacing w:after="0" w:line="252"/>
            </w:pPr>
            <w:r>
              <w:rPr>
                <w:b w:val="false"/>
                <w:bCs w:val="false"/>
                <w:color w:val="1A1A1A"/>
                <w:sz w:val="18"/>
                <w:szCs w:val="18"/>
              </w:rPr>
              <w:t xml:space="preserve">Confirmado, con fricción comercial</w:t>
            </w:r>
          </w:p>
        </w:tc>
      </w:tr>
    </w:tbl>
    <w:p>
      <w:pPr>
        <w:spacing w:after="160" w:before="0" w:line="276"/>
      </w:pPr>
      <w:r>
        <w:rPr>
          <w:b/>
          <w:bCs/>
          <w:color w:val="A8482A"/>
          <w:sz w:val="17"/>
          <w:szCs w:val="17"/>
        </w:rPr>
        <w:t xml:space="preserve">Nota. </w:t>
      </w:r>
      <w:r>
        <w:rPr>
          <w:i/>
          <w:iCs/>
          <w:color w:val="595959"/>
          <w:sz w:val="17"/>
          <w:szCs w:val="17"/>
        </w:rPr>
        <w:t xml:space="preserve">Los tres sistemas ya se integran entre sí, lo que indica que la conexión de un tercero es práctica habitual en ese ecosistema y no una excepción. No se dispone de participación de mercado por sistema en food service chileno: no es información pública. Esa brecha se cierra agregando una pregunta al levantamiento de campo.</w:t>
      </w:r>
    </w:p>
    <w:p>
      <w:r>
        <w:br w:type="page"/>
      </w:r>
    </w:p>
    <w:p>
      <w:pPr>
        <w:pStyle w:val="Heading1"/>
        <w:spacing w:after="160" w:before="360"/>
      </w:pPr>
      <w:r>
        <w:t xml:space="preserve">7. Cómo se obtiene la señal en cada tipo de cliente</w:t>
      </w:r>
    </w:p>
    <w:p>
      <w:pPr>
        <w:spacing w:after="120" w:before="0" w:line="276"/>
      </w:pPr>
      <w:r>
        <w:rPr>
          <w:color w:val="1A1A1A"/>
          <w:sz w:val="20"/>
          <w:szCs w:val="20"/>
        </w:rPr>
        <w:t xml:space="preserve">El tablero es uno solo, pero la forma de capturar la señal cambia según el tipo de cliente. No corresponde integrarse con un sistema ajeno en todos los canales: solo donde Marley depende de un tercero.</w:t>
      </w:r>
    </w:p>
    <w:p>
      <w:pPr>
        <w:pStyle w:val="Heading2"/>
        <w:spacing w:after="120" w:before="280"/>
      </w:pPr>
      <w:r>
        <w:t xml:space="preserve">7.1 La regla: dos preguntas deciden el método</w:t>
      </w:r>
    </w:p>
    <w:p>
      <w:pPr>
        <w:pStyle w:val="ListParagraph"/>
        <w:numPr>
          <w:ilvl w:val="0"/>
          <w:numId w:val="2"/>
        </w:numPr>
        <w:spacing w:after="60" w:line="264"/>
      </w:pPr>
      <w:r>
        <w:rPr>
          <w:b/>
          <w:bCs/>
          <w:color w:val="1A1A1A"/>
          <w:sz w:val="20"/>
          <w:szCs w:val="20"/>
        </w:rPr>
        <w:t xml:space="preserve">¿El punto pertenece a alguien con quien Marley tiene relación directa? </w:t>
      </w:r>
      <w:r>
        <w:rPr>
          <w:color w:val="1A1A1A"/>
          <w:sz w:val="20"/>
          <w:szCs w:val="20"/>
        </w:rPr>
        <w:t xml:space="preserve">Si la respuesta es sí, la señal se obtiene por un canal propio y no requiere autorización de terceros. Si es no, hay que entrar por el canal del tercero.</w:t>
      </w:r>
    </w:p>
    <w:p>
      <w:pPr>
        <w:pStyle w:val="ListParagraph"/>
        <w:numPr>
          <w:ilvl w:val="0"/>
          <w:numId w:val="2"/>
        </w:numPr>
        <w:spacing w:after="60" w:line="264"/>
      </w:pPr>
      <w:r>
        <w:rPr>
          <w:b/>
          <w:bCs/>
          <w:color w:val="1A1A1A"/>
          <w:sz w:val="20"/>
          <w:szCs w:val="20"/>
        </w:rPr>
        <w:t xml:space="preserve">¿Se le cobra la taza al consumidor final? </w:t>
      </w:r>
      <w:r>
        <w:rPr>
          <w:color w:val="1A1A1A"/>
          <w:sz w:val="20"/>
          <w:szCs w:val="20"/>
        </w:rPr>
        <w:t xml:space="preserve">Si se cobra, existe boleta y por lo tanto existe un registro de venta. Si no se cobra —el café de oficina es un beneficio interno de la empresa cliente— no existe boleta por taza, y entonces la única señal posible es la máquina.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shd w:fill="2B2B2B" w:color="auto" w:val="clear"/>
            <w:tcMar>
              <w:top w:type="dxa" w:w="80"/>
              <w:left w:type="dxa" w:w="110"/>
              <w:bottom w:type="dxa" w:w="80"/>
              <w:right w:type="dxa" w:w="110"/>
            </w:tcMar>
          </w:tcPr>
          <w:p>
            <w:pPr>
              <w:spacing w:after="0" w:line="252"/>
            </w:pPr>
            <w:r>
              <w:rPr>
                <w:b/>
                <w:bCs/>
                <w:color w:val="FFFFFF"/>
                <w:sz w:val="16"/>
                <w:szCs w:val="16"/>
              </w:rPr>
              <w:t xml:space="preserve"/>
            </w:r>
          </w:p>
        </w:tc>
        <w:tc>
          <w:tcPr>
            <w:tcW w:type="dxa" w:w="3313"/>
            <w:shd w:fill="2B2B2B" w:color="auto" w:val="clear"/>
            <w:tcMar>
              <w:top w:type="dxa" w:w="80"/>
              <w:left w:type="dxa" w:w="110"/>
              <w:bottom w:type="dxa" w:w="80"/>
              <w:right w:type="dxa" w:w="110"/>
            </w:tcMar>
          </w:tcPr>
          <w:p>
            <w:pPr>
              <w:spacing w:after="0" w:line="252"/>
            </w:pPr>
            <w:r>
              <w:rPr>
                <w:b/>
                <w:bCs/>
                <w:color w:val="FFFFFF"/>
                <w:sz w:val="16"/>
                <w:szCs w:val="16"/>
              </w:rPr>
              <w:t xml:space="preserve">Punto de un cliente directo</w:t>
            </w:r>
          </w:p>
        </w:tc>
        <w:tc>
          <w:tcPr>
            <w:tcW w:type="dxa" w:w="3313"/>
            <w:shd w:fill="2B2B2B" w:color="auto" w:val="clear"/>
            <w:tcMar>
              <w:top w:type="dxa" w:w="80"/>
              <w:left w:type="dxa" w:w="110"/>
              <w:bottom w:type="dxa" w:w="80"/>
              <w:right w:type="dxa" w:w="110"/>
            </w:tcMar>
          </w:tcPr>
          <w:p>
            <w:pPr>
              <w:spacing w:after="0" w:line="252"/>
            </w:pPr>
            <w:r>
              <w:rPr>
                <w:b/>
                <w:bCs/>
                <w:color w:val="FFFFFF"/>
                <w:sz w:val="16"/>
                <w:szCs w:val="16"/>
              </w:rPr>
              <w:t xml:space="preserve">Punto operado por un tercero</w:t>
            </w:r>
          </w:p>
        </w:tc>
      </w:tr>
      <w:tr>
        <w:trPr>
          <w:tblHeader w:val="false"/>
        </w:trPr>
        <w:tc>
          <w:tcPr>
            <w:tcW w:type="dxa" w:w="2400"/>
            <w:tcMar>
              <w:top w:type="dxa" w:w="80"/>
              <w:left w:type="dxa" w:w="110"/>
              <w:bottom w:type="dxa" w:w="80"/>
              <w:right w:type="dxa" w:w="110"/>
            </w:tcMar>
          </w:tcPr>
          <w:p>
            <w:pPr>
              <w:spacing w:after="0" w:line="252"/>
            </w:pPr>
            <w:r>
              <w:rPr>
                <w:b/>
                <w:bCs/>
                <w:color w:val="1A1A1A"/>
                <w:sz w:val="18"/>
                <w:szCs w:val="18"/>
              </w:rPr>
              <w:t xml:space="preserve">Se cobra la taza</w:t>
            </w:r>
          </w:p>
        </w:tc>
        <w:tc>
          <w:tcPr>
            <w:tcW w:type="dxa" w:w="3313"/>
            <w:tcMar>
              <w:top w:type="dxa" w:w="80"/>
              <w:left w:type="dxa" w:w="110"/>
              <w:bottom w:type="dxa" w:w="80"/>
              <w:right w:type="dxa" w:w="110"/>
            </w:tcMar>
          </w:tcPr>
          <w:p>
            <w:pPr>
              <w:spacing w:after="0" w:line="252"/>
            </w:pPr>
            <w:r>
              <w:rPr>
                <w:b w:val="false"/>
                <w:bCs w:val="false"/>
                <w:color w:val="1A1A1A"/>
                <w:sz w:val="18"/>
                <w:szCs w:val="18"/>
              </w:rPr>
              <w:t xml:space="preserve">HORECA — señal por el portal de pedidos. El cliente comunica su necesidad al pedir.</w:t>
            </w:r>
          </w:p>
        </w:tc>
        <w:tc>
          <w:tcPr>
            <w:tcW w:type="dxa" w:w="3313"/>
            <w:tcMar>
              <w:top w:type="dxa" w:w="80"/>
              <w:left w:type="dxa" w:w="110"/>
              <w:bottom w:type="dxa" w:w="80"/>
              <w:right w:type="dxa" w:w="110"/>
            </w:tcMar>
          </w:tcPr>
          <w:p>
            <w:pPr>
              <w:spacing w:after="0" w:line="252"/>
            </w:pPr>
            <w:r>
              <w:rPr>
                <w:b w:val="false"/>
                <w:bCs w:val="false"/>
                <w:color w:val="1A1A1A"/>
                <w:sz w:val="18"/>
                <w:szCs w:val="18"/>
              </w:rPr>
              <w:t xml:space="preserve">CONVENIENCIA Y PANADERÍAS — señal por el sistema de caja del punto, vía integración. Es el único camino disponible.</w:t>
            </w:r>
          </w:p>
        </w:tc>
      </w:tr>
      <w:tr>
        <w:trPr>
          <w:tblHeader w:val="false"/>
        </w:trPr>
        <w:tc>
          <w:tcPr>
            <w:tcW w:type="dxa" w:w="2400"/>
            <w:shd w:fill="F2EFE9" w:color="auto" w:val="clear"/>
            <w:tcMar>
              <w:top w:type="dxa" w:w="80"/>
              <w:left w:type="dxa" w:w="110"/>
              <w:bottom w:type="dxa" w:w="80"/>
              <w:right w:type="dxa" w:w="110"/>
            </w:tcMar>
          </w:tcPr>
          <w:p>
            <w:pPr>
              <w:spacing w:after="0" w:line="252"/>
            </w:pPr>
            <w:r>
              <w:rPr>
                <w:b/>
                <w:bCs/>
                <w:color w:val="1A1A1A"/>
                <w:sz w:val="18"/>
                <w:szCs w:val="18"/>
              </w:rPr>
              <w:t xml:space="preserve">No se cobra: autoservicio</w:t>
            </w:r>
          </w:p>
        </w:tc>
        <w:tc>
          <w:tcPr>
            <w:tcW w:type="dxa" w:w="33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OCS DIRECTO — no hay boleta por taza. La señal es la máquina.</w:t>
            </w:r>
          </w:p>
        </w:tc>
        <w:tc>
          <w:tcPr>
            <w:tcW w:type="dxa" w:w="3313"/>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OCS VÍA PARTNER — la máquina igual, pero el acceso al punto se negocia con el operador.</w:t>
            </w:r>
          </w:p>
        </w:tc>
      </w:tr>
    </w:tbl>
    <w:p>
      <w:pPr>
        <w:spacing w:after="120" w:before="100" w:line="276"/>
      </w:pPr>
      <w:r>
        <w:rPr>
          <w:color w:val="1A1A1A"/>
          <w:sz w:val="20"/>
          <w:szCs w:val="20"/>
        </w:rPr>
        <w:t xml:space="preserve">La consecuencia práctica es que, de los cuatro tipos de cliente, solo dos requieren integración con un sistema ajeno. En los otros dos la señal es propia y no depende de autorización externa.</w:t>
      </w:r>
    </w:p>
    <w:p>
      <w:pPr>
        <w:pStyle w:val="Heading2"/>
        <w:spacing w:after="120" w:before="280"/>
      </w:pPr>
      <w:r>
        <w:t xml:space="preserve">7.2 Los cuatro tipos de cliente</w:t>
      </w:r>
    </w:p>
    <w:p>
      <w:pPr>
        <w:pStyle w:val="Heading3"/>
        <w:spacing w:after="100" w:before="220"/>
      </w:pPr>
      <w:r>
        <w:t xml:space="preserve">Horeca — 1.150 puntos, 36% de las ventas</w:t>
      </w:r>
    </w:p>
    <w:p>
      <w:pPr>
        <w:spacing w:after="120" w:before="0" w:line="276"/>
      </w:pPr>
      <w:r>
        <w:rPr>
          <w:color w:val="1A1A1A"/>
          <w:sz w:val="20"/>
          <w:szCs w:val="20"/>
        </w:rPr>
        <w:t xml:space="preserve">La cafetería o el restaurante le compra directamente a Marley. Hoy pide por mensajería, correo o llamando al ejecutivo, y ese pedido no queda registrado en ningún sistema. La señal se obtiene por el portal de pedidos: cuando el cliente pide allí, el pedido nace digital y el acto de pedir se convierte en dato. El sistema pasa a saber cada cuánto pide, cuánto pide, si dejó de pedir y si pidió fuera de su patrón habitual. Con doce meses de historial se puede anticipar el próximo pedido y ofrecerlo antes de que lo solicite, sin instalar ningún sensor. Ataca la causa CR2. Mide compra y no venta: es proxy de consumo, no venta real al consumidor.</w:t>
      </w:r>
    </w:p>
    <w:p>
      <w:pPr>
        <w:pStyle w:val="Heading3"/>
        <w:spacing w:after="100" w:before="220"/>
      </w:pPr>
      <w:r>
        <w:t xml:space="preserve">Office Coffee Service — 1.260 puntos, 12% de las ventas</w:t>
      </w:r>
    </w:p>
    <w:p>
      <w:pPr>
        <w:spacing w:after="120" w:before="0" w:line="276"/>
      </w:pPr>
      <w:r>
        <w:rPr>
          <w:color w:val="1A1A1A"/>
          <w:sz w:val="20"/>
          <w:szCs w:val="20"/>
        </w:rPr>
        <w:t xml:space="preserve">La máquina está instalada en la oficina y el colaborador se sirve sin pagar: la empresa cliente compró el insumo y la taza no se cobra. La señal se obtiene por la máquina, y no por preferencia sino por necesidad: si nadie cobra la taza no hay boleta por taza que leer, y el equipo es el único que sabe cuántos cafés se sirvieron. Entrega tazas preparadas, nivel de insumo, estado del equipo y fallas antes de que alguien reclame. La implementación es telemetría de reacondicionamiento sobre el parque instalado, sin renovar flota, que es la restricción dura del presupuesto. Ataca la causa CR3.</w:t>
      </w:r>
    </w:p>
    <w:p>
      <w:pPr>
        <w:pStyle w:val="Heading3"/>
        <w:spacing w:after="100" w:before="220"/>
      </w:pPr>
      <w:r>
        <w:t xml:space="preserve">Estaciones de servicio y conveniencia — 360 puntos, 9% de las ventas</w:t>
      </w:r>
    </w:p>
    <w:p>
      <w:pPr>
        <w:spacing w:after="120" w:before="0" w:line="276"/>
      </w:pPr>
      <w:r>
        <w:rPr>
          <w:color w:val="1A1A1A"/>
          <w:sz w:val="20"/>
          <w:szCs w:val="20"/>
        </w:rPr>
        <w:t xml:space="preserve">El punto pertenece al operador —Copec, Enex, FEMSA— que es dueño del local, del precio y del dato. Marley no puede instalar ni modificar nada sin su autorización. La señal se obtiene por el sistema de caja del operador: aquí sí se le cobra al consumidor, de modo que cada café emite boleta. Ese dato ya existe y solo pertenece a otro; se accede por integración y no por planilla mensual. Entrega venta real por punto y por día, que es exactamente lo que hoy falta en el 45% de estos puntos. Ataca la causa CR4, la que fija el perímetro de todas las demás.</w:t>
      </w:r>
    </w:p>
    <w:p>
      <w:pPr>
        <w:pStyle w:val="Heading3"/>
        <w:spacing w:after="100" w:before="220"/>
      </w:pPr>
      <w:r>
        <w:t xml:space="preserve">Panaderías — 620 puntos, 6% de las ventas</w:t>
      </w:r>
    </w:p>
    <w:p>
      <w:pPr>
        <w:spacing w:after="120" w:before="0" w:line="276"/>
      </w:pPr>
      <w:r>
        <w:rPr>
          <w:color w:val="1A1A1A"/>
          <w:sz w:val="20"/>
          <w:szCs w:val="20"/>
        </w:rPr>
        <w:t xml:space="preserve">Es un canal mixto: 350 puntos pertenecen a cadenas y 270 son independientes. El independiente le compra directamente a Marley pero le vende la taza a su propio cliente, de modo que la señal se obtiene por los dos lados. El portal indica cuánto pide y la caja indica cuánto vende; la diferencia entre ambas cifras es cuánto stock le queda, sin instalar ningún sensor. Además entrega una señal de ejecución que ningún otro canal permite: un punto que compra y no vende tiene un problema de preparación o de exhibición, no de abastecimiento. Es, por eso, el canal más barato para demostrar que el modelo funciona.</w:t>
      </w:r>
    </w:p>
    <w:p>
      <w:pPr>
        <w:pStyle w:val="Heading2"/>
        <w:spacing w:after="120" w:before="280"/>
      </w:pPr>
      <w:r>
        <w:t xml:space="preserve">7.3 La llave de identidad: máquina y RUT</w:t>
      </w:r>
    </w:p>
    <w:p>
      <w:pPr>
        <w:spacing w:after="120" w:before="0" w:line="276"/>
      </w:pPr>
      <w:r>
        <w:rPr>
          <w:color w:val="1A1A1A"/>
          <w:sz w:val="20"/>
          <w:szCs w:val="20"/>
        </w:rPr>
        <w:t xml:space="preserve">El diagnóstico pide una identidad única de cliente, punto y máquina. La pregunta pendiente es cuál de los tres ancla el modelo, y la respuesta no es el cliente.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shd w:fill="2B2B2B" w:color="auto" w:val="clear"/>
            <w:tcMar>
              <w:top w:type="dxa" w:w="80"/>
              <w:left w:type="dxa" w:w="110"/>
              <w:bottom w:type="dxa" w:w="80"/>
              <w:right w:type="dxa" w:w="110"/>
            </w:tcMar>
          </w:tcPr>
          <w:p>
            <w:pPr>
              <w:spacing w:after="0" w:line="252"/>
            </w:pPr>
            <w:r>
              <w:rPr>
                <w:b/>
                <w:bCs/>
                <w:color w:val="FFFFFF"/>
                <w:sz w:val="16"/>
                <w:szCs w:val="16"/>
              </w:rPr>
              <w:t xml:space="preserve">Llave</w:t>
            </w:r>
          </w:p>
        </w:tc>
        <w:tc>
          <w:tcPr>
            <w:tcW w:type="dxa" w:w="7026"/>
            <w:shd w:fill="2B2B2B" w:color="auto" w:val="clear"/>
            <w:tcMar>
              <w:top w:type="dxa" w:w="80"/>
              <w:left w:type="dxa" w:w="110"/>
              <w:bottom w:type="dxa" w:w="80"/>
              <w:right w:type="dxa" w:w="110"/>
            </w:tcMar>
          </w:tcPr>
          <w:p>
            <w:pPr>
              <w:spacing w:after="0" w:line="252"/>
            </w:pPr>
            <w:r>
              <w:rPr>
                <w:b/>
                <w:bCs/>
                <w:color w:val="FFFFFF"/>
                <w:sz w:val="16"/>
                <w:szCs w:val="16"/>
              </w:rPr>
              <w:t xml:space="preserve">Por qué</w:t>
            </w:r>
          </w:p>
        </w:tc>
      </w:tr>
      <w:tr>
        <w:trPr>
          <w:tblHeader w:val="false"/>
        </w:trPr>
        <w:tc>
          <w:tcPr>
            <w:tcW w:type="dxa" w:w="2000"/>
            <w:tcMar>
              <w:top w:type="dxa" w:w="80"/>
              <w:left w:type="dxa" w:w="110"/>
              <w:bottom w:type="dxa" w:w="80"/>
              <w:right w:type="dxa" w:w="110"/>
            </w:tcMar>
          </w:tcPr>
          <w:p>
            <w:pPr>
              <w:spacing w:after="0" w:line="252"/>
            </w:pPr>
            <w:r>
              <w:rPr>
                <w:b/>
                <w:bCs/>
                <w:color w:val="1A1A1A"/>
                <w:sz w:val="18"/>
                <w:szCs w:val="18"/>
              </w:rPr>
              <w:t xml:space="preserve">La máquina
(llave física)</w:t>
            </w:r>
          </w:p>
        </w:tc>
        <w:tc>
          <w:tcPr>
            <w:tcW w:type="dxa" w:w="7026"/>
            <w:tcMar>
              <w:top w:type="dxa" w:w="80"/>
              <w:left w:type="dxa" w:w="110"/>
              <w:bottom w:type="dxa" w:w="80"/>
              <w:right w:type="dxa" w:w="110"/>
            </w:tcMar>
          </w:tcPr>
          <w:p>
            <w:pPr>
              <w:spacing w:after="0" w:line="252"/>
            </w:pPr>
            <w:r>
              <w:rPr>
                <w:b w:val="false"/>
                <w:bCs w:val="false"/>
                <w:color w:val="1A1A1A"/>
                <w:sz w:val="18"/>
                <w:szCs w:val="18"/>
              </w:rPr>
              <w:t xml:space="preserve">El cliente cambia, el local cambia de dueño y el operador cambia. La máquina es de Marley: está entregada en comodato. Es el único objeto que existe en los cuatro canales y que la empresa posee legalmente, y por lo tanto el único ancla estable de la trazabilidad interna.</w:t>
            </w:r>
          </w:p>
        </w:tc>
      </w:tr>
      <w:tr>
        <w:trPr>
          <w:tblHeader w:val="false"/>
        </w:trPr>
        <w:tc>
          <w:tcPr>
            <w:tcW w:type="dxa" w:w="2000"/>
            <w:shd w:fill="F2EFE9" w:color="auto" w:val="clear"/>
            <w:tcMar>
              <w:top w:type="dxa" w:w="80"/>
              <w:left w:type="dxa" w:w="110"/>
              <w:bottom w:type="dxa" w:w="80"/>
              <w:right w:type="dxa" w:w="110"/>
            </w:tcMar>
          </w:tcPr>
          <w:p>
            <w:pPr>
              <w:spacing w:after="0" w:line="252"/>
            </w:pPr>
            <w:r>
              <w:rPr>
                <w:b/>
                <w:bCs/>
                <w:color w:val="1A1A1A"/>
                <w:sz w:val="18"/>
                <w:szCs w:val="18"/>
              </w:rPr>
              <w:t xml:space="preserve">El RUT
(llave fiscal)</w:t>
            </w:r>
          </w:p>
        </w:tc>
        <w:tc>
          <w:tcPr>
            <w:tcW w:type="dxa" w:w="7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Es el identificador con el que el punto emite cada boleta. Único por ley, estable y universal. Es lo que permite unir el dato de Marley con la venta registrada en el punto: sin él, la señal que proviene del sistema de un tercero no puede cruzarse con nada propio.</w:t>
            </w:r>
          </w:p>
        </w:tc>
      </w:tr>
    </w:tbl>
    <w:p>
      <w:pPr>
        <w:spacing w:after="120" w:before="100" w:line="276"/>
      </w:pPr>
      <w:r>
        <w:rPr>
          <w:color w:val="1A1A1A"/>
          <w:sz w:val="20"/>
          <w:szCs w:val="20"/>
        </w:rPr>
        <w:t xml:space="preserve">La máquina resuelve la trazabilidad interna y el RUT resuelve la unión con el mundo exterior. Ninguna de las dos alcanza por separado. La combinación es además específica de Chile: en otro país no existiría un identificador fiscal universal adherido por ley a cada transacción.</w:t>
      </w:r>
    </w:p>
    <w:p>
      <w:r>
        <w:br w:type="page"/>
      </w:r>
    </w:p>
    <w:p>
      <w:pPr>
        <w:pStyle w:val="Heading1"/>
        <w:spacing w:after="160" w:before="360"/>
      </w:pPr>
      <w:r>
        <w:t xml:space="preserve">8. El tablero de indicadores</w:t>
      </w:r>
    </w:p>
    <w:p>
      <w:pPr>
        <w:spacing w:after="120" w:before="0" w:line="276"/>
      </w:pPr>
      <w:r>
        <w:rPr>
          <w:color w:val="1A1A1A"/>
          <w:sz w:val="20"/>
          <w:szCs w:val="20"/>
        </w:rPr>
        <w:t xml:space="preserve">El principio de diseño es que cada vista responda una pregunta y habilite una decisión. Si un indicador no cambia lo que alguien va a hacer esta semana, no pertenece al tablero. Esa es la diferencia entre un tablero de gestión y un mural de métricas de vanidad.</w:t>
      </w:r>
    </w:p>
    <w:p>
      <w:pPr>
        <w:spacing w:after="120" w:before="0" w:line="276"/>
      </w:pPr>
      <w:r>
        <w:rPr>
          <w:color w:val="1A1A1A"/>
          <w:sz w:val="20"/>
          <w:szCs w:val="20"/>
        </w:rPr>
        <w:t xml:space="preserve">No son cinco tableros sino uno solo, con permisos y filtros distintos sobre la misma tabla de puntos, que es la que alimentan las cuatro formas de capturar señal descritas en la sección anterior.</w:t>
      </w:r>
    </w:p>
    <w:p>
      <w:pPr>
        <w:pStyle w:val="Heading3"/>
        <w:spacing w:after="100" w:before="220"/>
      </w:pPr>
      <w:r>
        <w:t xml:space="preserve">La tabla de fondo: una fila por punto activo</w:t>
      </w:r>
    </w:p>
    <w:p>
      <w:pPr>
        <w:shd w:fill="F5F3EE" w:color="auto" w:val="clear"/>
        <w:spacing w:after="0" w:line="240"/>
      </w:pPr>
      <w:r>
        <w:rPr>
          <w:rFonts w:ascii="Consolas" w:cs="Consolas" w:eastAsia="Consolas" w:hAnsi="Consolas"/>
          <w:color w:val="1A1A1A"/>
          <w:sz w:val="17"/>
          <w:szCs w:val="17"/>
        </w:rPr>
        <w:t xml:space="preserve">  punto_id · rut · canal · región · operador · máquina_id · estado</w:t>
      </w:r>
    </w:p>
    <w:p>
      <w:pPr>
        <w:shd w:fill="F5F3EE" w:color="auto" w:val="clear"/>
        <w:spacing w:after="0" w:line="240"/>
      </w:pPr>
      <w:r>
        <w:rPr>
          <w:rFonts w:ascii="Consolas" w:cs="Consolas" w:eastAsia="Consolas" w:hAnsi="Consolas"/>
          <w:color w:val="1A1A1A"/>
          <w:sz w:val="17"/>
          <w:szCs w:val="17"/>
        </w:rPr>
        <w:t xml:space="preserve">  consumo_estimado · días_de_stock · último_pedido · fuente_de_señal</w:t>
      </w:r>
    </w:p>
    <w:p>
      <w:pPr>
        <w:shd w:fill="F5F3EE" w:color="auto" w:val="clear"/>
        <w:spacing w:after="140" w:line="240"/>
      </w:pPr>
      <w:r>
        <w:rPr>
          <w:rFonts w:ascii="Consolas" w:cs="Consolas" w:eastAsia="Consolas" w:hAnsi="Consolas"/>
          <w:color w:val="1A1A1A"/>
          <w:sz w:val="17"/>
          <w:szCs w:val="17"/>
        </w:rPr>
        <w:t xml:space="preserve">  nps · tickets_abiertos · sla_horas · renovación · completitud_datos</w:t>
      </w:r>
    </w:p>
    <w:p>
      <w:pPr>
        <w:pStyle w:val="Heading2"/>
        <w:spacing w:after="120" w:before="280"/>
      </w:pPr>
      <w:r>
        <w:t xml:space="preserve">8.1 Las cinco vistas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100"/>
        <w:gridCol w:w="3926"/>
      </w:tblGrid>
      <w:tr>
        <w:trPr>
          <w:tblHeader/>
        </w:trPr>
        <w:tc>
          <w:tcPr>
            <w:tcW w:type="dxa" w:w="1900"/>
            <w:shd w:fill="2B2B2B" w:color="auto" w:val="clear"/>
            <w:tcMar>
              <w:top w:type="dxa" w:w="80"/>
              <w:left w:type="dxa" w:w="110"/>
              <w:bottom w:type="dxa" w:w="80"/>
              <w:right w:type="dxa" w:w="110"/>
            </w:tcMar>
          </w:tcPr>
          <w:p>
            <w:pPr>
              <w:spacing w:after="0" w:line="252"/>
            </w:pPr>
            <w:r>
              <w:rPr>
                <w:b/>
                <w:bCs/>
                <w:color w:val="FFFFFF"/>
                <w:sz w:val="16"/>
                <w:szCs w:val="16"/>
              </w:rPr>
              <w:t xml:space="preserve">Vista</w:t>
            </w:r>
          </w:p>
        </w:tc>
        <w:tc>
          <w:tcPr>
            <w:tcW w:type="dxa" w:w="2100"/>
            <w:shd w:fill="2B2B2B" w:color="auto" w:val="clear"/>
            <w:tcMar>
              <w:top w:type="dxa" w:w="80"/>
              <w:left w:type="dxa" w:w="110"/>
              <w:bottom w:type="dxa" w:w="80"/>
              <w:right w:type="dxa" w:w="110"/>
            </w:tcMar>
          </w:tcPr>
          <w:p>
            <w:pPr>
              <w:spacing w:after="0" w:line="252"/>
            </w:pPr>
            <w:r>
              <w:rPr>
                <w:b/>
                <w:bCs/>
                <w:color w:val="FFFFFF"/>
                <w:sz w:val="16"/>
                <w:szCs w:val="16"/>
              </w:rPr>
              <w:t xml:space="preserve">Quién la mira</w:t>
            </w:r>
          </w:p>
        </w:tc>
        <w:tc>
          <w:tcPr>
            <w:tcW w:type="dxa" w:w="1100"/>
            <w:shd w:fill="2B2B2B" w:color="auto" w:val="clear"/>
            <w:tcMar>
              <w:top w:type="dxa" w:w="80"/>
              <w:left w:type="dxa" w:w="110"/>
              <w:bottom w:type="dxa" w:w="80"/>
              <w:right w:type="dxa" w:w="110"/>
            </w:tcMar>
          </w:tcPr>
          <w:p>
            <w:pPr>
              <w:spacing w:after="0" w:line="252"/>
            </w:pPr>
            <w:r>
              <w:rPr>
                <w:b/>
                <w:bCs/>
                <w:color w:val="FFFFFF"/>
                <w:sz w:val="16"/>
                <w:szCs w:val="16"/>
              </w:rPr>
              <w:t xml:space="preserve">Cadencia</w:t>
            </w:r>
          </w:p>
        </w:tc>
        <w:tc>
          <w:tcPr>
            <w:tcW w:type="dxa" w:w="3926"/>
            <w:shd w:fill="2B2B2B" w:color="auto" w:val="clear"/>
            <w:tcMar>
              <w:top w:type="dxa" w:w="80"/>
              <w:left w:type="dxa" w:w="110"/>
              <w:bottom w:type="dxa" w:w="80"/>
              <w:right w:type="dxa" w:w="110"/>
            </w:tcMar>
          </w:tcPr>
          <w:p>
            <w:pPr>
              <w:spacing w:after="0" w:line="252"/>
            </w:pPr>
            <w:r>
              <w:rPr>
                <w:b/>
                <w:bCs/>
                <w:color w:val="FFFFFF"/>
                <w:sz w:val="16"/>
                <w:szCs w:val="16"/>
              </w:rPr>
              <w:t xml:space="preserve">Qué muestra y qué decide</w:t>
            </w:r>
          </w:p>
        </w:tc>
      </w:tr>
      <w:tr>
        <w:trPr>
          <w:tblHeader w:val="false"/>
        </w:trPr>
        <w:tc>
          <w:tcPr>
            <w:tcW w:type="dxa" w:w="1900"/>
            <w:tcMar>
              <w:top w:type="dxa" w:w="80"/>
              <w:left w:type="dxa" w:w="110"/>
              <w:bottom w:type="dxa" w:w="80"/>
              <w:right w:type="dxa" w:w="110"/>
            </w:tcMar>
          </w:tcPr>
          <w:p>
            <w:pPr>
              <w:spacing w:after="0" w:line="252"/>
            </w:pPr>
            <w:r>
              <w:rPr>
                <w:b/>
                <w:bCs/>
                <w:color w:val="1A1A1A"/>
                <w:sz w:val="18"/>
                <w:szCs w:val="18"/>
              </w:rPr>
              <w:t xml:space="preserve">Dirección</w:t>
            </w:r>
          </w:p>
        </w:tc>
        <w:tc>
          <w:tcPr>
            <w:tcW w:type="dxa" w:w="2100"/>
            <w:tcMar>
              <w:top w:type="dxa" w:w="80"/>
              <w:left w:type="dxa" w:w="110"/>
              <w:bottom w:type="dxa" w:w="80"/>
              <w:right w:type="dxa" w:w="110"/>
            </w:tcMar>
          </w:tcPr>
          <w:p>
            <w:pPr>
              <w:spacing w:after="0" w:line="252"/>
            </w:pPr>
            <w:r>
              <w:rPr>
                <w:b w:val="false"/>
                <w:bCs w:val="false"/>
                <w:color w:val="1A1A1A"/>
                <w:sz w:val="18"/>
                <w:szCs w:val="18"/>
              </w:rPr>
              <w:t xml:space="preserve">Sponsor ejecutivo y gerencia comercial</w:t>
            </w:r>
          </w:p>
        </w:tc>
        <w:tc>
          <w:tcPr>
            <w:tcW w:type="dxa" w:w="1100"/>
            <w:tcMar>
              <w:top w:type="dxa" w:w="80"/>
              <w:left w:type="dxa" w:w="110"/>
              <w:bottom w:type="dxa" w:w="80"/>
              <w:right w:type="dxa" w:w="110"/>
            </w:tcMar>
          </w:tcPr>
          <w:p>
            <w:pPr>
              <w:spacing w:after="0" w:line="252"/>
            </w:pPr>
            <w:r>
              <w:rPr>
                <w:b w:val="false"/>
                <w:bCs w:val="false"/>
                <w:color w:val="1A1A1A"/>
                <w:sz w:val="18"/>
                <w:szCs w:val="18"/>
              </w:rPr>
              <w:t xml:space="preserve">Mensual</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Los cuatro canales en una línea, porcentaje de la red visible, avance contra las metas oficiales y presupuesto ejecutado. Decide dónde asignar el presupuesto del trimestre y qué iniciativa escalar, corregir o detener.</w:t>
            </w:r>
          </w:p>
        </w:tc>
      </w:tr>
      <w:tr>
        <w:trPr>
          <w:tblHeader w:val="false"/>
        </w:trPr>
        <w:tc>
          <w:tcPr>
            <w:tcW w:type="dxa" w:w="1900"/>
            <w:shd w:fill="F2EFE9" w:color="auto" w:val="clear"/>
            <w:tcMar>
              <w:top w:type="dxa" w:w="80"/>
              <w:left w:type="dxa" w:w="110"/>
              <w:bottom w:type="dxa" w:w="80"/>
              <w:right w:type="dxa" w:w="110"/>
            </w:tcMar>
          </w:tcPr>
          <w:p>
            <w:pPr>
              <w:spacing w:after="0" w:line="252"/>
            </w:pPr>
            <w:r>
              <w:rPr>
                <w:b/>
                <w:bCs/>
                <w:color w:val="1A1A1A"/>
                <w:sz w:val="18"/>
                <w:szCs w:val="18"/>
              </w:rPr>
              <w:t xml:space="preserve">Operación</w:t>
            </w:r>
          </w:p>
        </w:tc>
        <w:tc>
          <w:tcPr>
            <w:tcW w:type="dxa" w:w="2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Comercial B2B, coordinadoras y servicio técnico</w:t>
            </w:r>
          </w:p>
        </w:tc>
        <w:tc>
          <w:tcPr>
            <w:tcW w:type="dxa" w:w="1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Diaria</w:t>
            </w:r>
          </w:p>
        </w:tc>
        <w:tc>
          <w:tcPr>
            <w:tcW w:type="dxa" w:w="3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Puntos que se quedarán sin producto en siete días ordenados por urgencia, máquinas caídas con horas transcurridas contra el acuerdo de servicio, pedidos en curso y pedidos fuera del patrón habitual. Decide a quién contactar hoy y adónde enviar al técnico. Es la vista que ataca el 6,8% de quiebres y las 31 horas de respuesta.</w:t>
            </w:r>
          </w:p>
        </w:tc>
      </w:tr>
      <w:tr>
        <w:trPr>
          <w:tblHeader w:val="false"/>
        </w:trPr>
        <w:tc>
          <w:tcPr>
            <w:tcW w:type="dxa" w:w="1900"/>
            <w:tcMar>
              <w:top w:type="dxa" w:w="80"/>
              <w:left w:type="dxa" w:w="110"/>
              <w:bottom w:type="dxa" w:w="80"/>
              <w:right w:type="dxa" w:w="110"/>
            </w:tcMar>
          </w:tcPr>
          <w:p>
            <w:pPr>
              <w:spacing w:after="0" w:line="252"/>
            </w:pPr>
            <w:r>
              <w:rPr>
                <w:b/>
                <w:bCs/>
                <w:color w:val="1A1A1A"/>
                <w:sz w:val="18"/>
                <w:szCs w:val="18"/>
              </w:rPr>
              <w:t xml:space="preserve">Cartera</w:t>
            </w:r>
          </w:p>
        </w:tc>
        <w:tc>
          <w:tcPr>
            <w:tcW w:type="dxa" w:w="2100"/>
            <w:tcMar>
              <w:top w:type="dxa" w:w="80"/>
              <w:left w:type="dxa" w:w="110"/>
              <w:bottom w:type="dxa" w:w="80"/>
              <w:right w:type="dxa" w:w="110"/>
            </w:tcMar>
          </w:tcPr>
          <w:p>
            <w:pPr>
              <w:spacing w:after="0" w:line="252"/>
            </w:pPr>
            <w:r>
              <w:rPr>
                <w:b w:val="false"/>
                <w:bCs w:val="false"/>
                <w:color w:val="1A1A1A"/>
                <w:sz w:val="18"/>
                <w:szCs w:val="18"/>
              </w:rPr>
              <w:t xml:space="preserve">Comercial B2B y líder de marketing</w:t>
            </w:r>
          </w:p>
        </w:tc>
        <w:tc>
          <w:tcPr>
            <w:tcW w:type="dxa" w:w="1100"/>
            <w:tcMar>
              <w:top w:type="dxa" w:w="80"/>
              <w:left w:type="dxa" w:w="110"/>
              <w:bottom w:type="dxa" w:w="80"/>
              <w:right w:type="dxa" w:w="110"/>
            </w:tcMar>
          </w:tcPr>
          <w:p>
            <w:pPr>
              <w:spacing w:after="0" w:line="252"/>
            </w:pPr>
            <w:r>
              <w:rPr>
                <w:b w:val="false"/>
                <w:bCs w:val="false"/>
                <w:color w:val="1A1A1A"/>
                <w:sz w:val="18"/>
                <w:szCs w:val="18"/>
              </w:rPr>
              <w:t xml:space="preserve">Semanal</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Cuentas con consumo decreciente, cruce entre fecha de renovación y NPS, puntos que compran y no venden, y cuentas con incidencias repetidas en el mismo equipo. Decide a qué cliente visitar antes de perderlo.</w:t>
            </w:r>
          </w:p>
        </w:tc>
      </w:tr>
      <w:tr>
        <w:trPr>
          <w:tblHeader w:val="false"/>
        </w:trPr>
        <w:tc>
          <w:tcPr>
            <w:tcW w:type="dxa" w:w="1900"/>
            <w:shd w:fill="F2EFE9" w:color="auto" w:val="clear"/>
            <w:tcMar>
              <w:top w:type="dxa" w:w="80"/>
              <w:left w:type="dxa" w:w="110"/>
              <w:bottom w:type="dxa" w:w="80"/>
              <w:right w:type="dxa" w:w="110"/>
            </w:tcMar>
          </w:tcPr>
          <w:p>
            <w:pPr>
              <w:spacing w:after="0" w:line="252"/>
            </w:pPr>
            <w:r>
              <w:rPr>
                <w:b/>
                <w:bCs/>
                <w:color w:val="1A1A1A"/>
                <w:sz w:val="18"/>
                <w:szCs w:val="18"/>
              </w:rPr>
              <w:t xml:space="preserve">Calidad del dato</w:t>
            </w:r>
          </w:p>
        </w:tc>
        <w:tc>
          <w:tcPr>
            <w:tcW w:type="dxa" w:w="2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Analista de datos</w:t>
            </w:r>
          </w:p>
        </w:tc>
        <w:tc>
          <w:tcPr>
            <w:tcW w:type="dxa" w:w="1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Semanal</w:t>
            </w:r>
          </w:p>
        </w:tc>
        <w:tc>
          <w:tcPr>
            <w:tcW w:type="dxa" w:w="3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Porcentaje de puntos con identidad completa, distribución de puntos por fuente de señal, puntos sin ninguna señal y cumplimiento de entrega de los partners. Decide dónde falta conectar. Es la vista que mide la ceguera misma y la que hace confiables a las otras tres.</w:t>
            </w:r>
          </w:p>
        </w:tc>
      </w:tr>
      <w:tr>
        <w:trPr>
          <w:tblHeader w:val="false"/>
        </w:trPr>
        <w:tc>
          <w:tcPr>
            <w:tcW w:type="dxa" w:w="1900"/>
            <w:tcMar>
              <w:top w:type="dxa" w:w="80"/>
              <w:left w:type="dxa" w:w="110"/>
              <w:bottom w:type="dxa" w:w="80"/>
              <w:right w:type="dxa" w:w="110"/>
            </w:tcMar>
          </w:tcPr>
          <w:p>
            <w:pPr>
              <w:spacing w:after="0" w:line="252"/>
            </w:pPr>
            <w:r>
              <w:rPr>
                <w:b/>
                <w:bCs/>
                <w:color w:val="1A1A1A"/>
                <w:sz w:val="18"/>
                <w:szCs w:val="18"/>
              </w:rPr>
              <w:t xml:space="preserve">El cliente</w:t>
            </w:r>
          </w:p>
        </w:tc>
        <w:tc>
          <w:tcPr>
            <w:tcW w:type="dxa" w:w="2100"/>
            <w:tcMar>
              <w:top w:type="dxa" w:w="80"/>
              <w:left w:type="dxa" w:w="110"/>
              <w:bottom w:type="dxa" w:w="80"/>
              <w:right w:type="dxa" w:w="110"/>
            </w:tcMar>
          </w:tcPr>
          <w:p>
            <w:pPr>
              <w:spacing w:after="0" w:line="252"/>
            </w:pPr>
            <w:r>
              <w:rPr>
                <w:b w:val="false"/>
                <w:bCs w:val="false"/>
                <w:color w:val="1A1A1A"/>
                <w:sz w:val="18"/>
                <w:szCs w:val="18"/>
              </w:rPr>
              <w:t xml:space="preserve">El propio cliente B2B</w:t>
            </w:r>
          </w:p>
        </w:tc>
        <w:tc>
          <w:tcPr>
            <w:tcW w:type="dxa" w:w="1100"/>
            <w:tcMar>
              <w:top w:type="dxa" w:w="80"/>
              <w:left w:type="dxa" w:w="110"/>
              <w:bottom w:type="dxa" w:w="80"/>
              <w:right w:type="dxa" w:w="110"/>
            </w:tcMar>
          </w:tcPr>
          <w:p>
            <w:pPr>
              <w:spacing w:after="0" w:line="252"/>
            </w:pPr>
            <w:r>
              <w:rPr>
                <w:b w:val="false"/>
                <w:bCs w:val="false"/>
                <w:color w:val="1A1A1A"/>
                <w:sz w:val="18"/>
                <w:szCs w:val="18"/>
              </w:rPr>
              <w:t xml:space="preserve">Permanente</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Sus pedidos y su estado, su consumo y días de stock, sus tickets de soporte y su historial para repetir el pedido. Le permite pedir antes de quedarse sin producto, y para Marley es la contrapartida que hace que el cliente quiera usar el portal: sin adopción, la señal de Horeca no existe.</w:t>
            </w:r>
          </w:p>
        </w:tc>
      </w:tr>
    </w:tbl>
    <w:p>
      <w:pPr>
        <w:pStyle w:val="Heading2"/>
        <w:spacing w:after="120" w:before="280"/>
      </w:pPr>
      <w:r>
        <w:t xml:space="preserve">8.2 Tres reglas de diseño y una exclusión</w:t>
      </w:r>
    </w:p>
    <w:p>
      <w:pPr>
        <w:pStyle w:val="ListParagraph"/>
        <w:numPr>
          <w:ilvl w:val="0"/>
          <w:numId w:val="2"/>
        </w:numPr>
        <w:spacing w:after="60" w:line="264"/>
      </w:pPr>
      <w:r>
        <w:rPr>
          <w:b/>
          <w:bCs/>
          <w:color w:val="1A1A1A"/>
          <w:sz w:val="20"/>
          <w:szCs w:val="20"/>
        </w:rPr>
        <w:t xml:space="preserve">Cada indicador tiene un responsable de accionar, </w:t>
      </w:r>
      <w:r>
        <w:rPr>
          <w:color w:val="1A1A1A"/>
          <w:sz w:val="20"/>
          <w:szCs w:val="20"/>
        </w:rPr>
        <w:t xml:space="preserve">no solo de mirarlo. El desafío lo exige explícitamente al pedir cadencia y responsables.</w:t>
      </w:r>
    </w:p>
    <w:p>
      <w:pPr>
        <w:pStyle w:val="ListParagraph"/>
        <w:numPr>
          <w:ilvl w:val="0"/>
          <w:numId w:val="2"/>
        </w:numPr>
        <w:spacing w:after="60" w:line="264"/>
      </w:pPr>
      <w:r>
        <w:rPr>
          <w:b/>
          <w:bCs/>
          <w:color w:val="1A1A1A"/>
          <w:sz w:val="20"/>
          <w:szCs w:val="20"/>
        </w:rPr>
        <w:t xml:space="preserve">El tablero tolera fuentes desparejas. </w:t>
      </w:r>
      <w:r>
        <w:rPr>
          <w:color w:val="1A1A1A"/>
          <w:sz w:val="20"/>
          <w:szCs w:val="20"/>
        </w:rPr>
        <w:t xml:space="preserve">Un punto con telemetría se actualiza cada hora y uno con reporte de partner una vez al mes; el tablero muestra la antigüedad del dato en vez de presentar todo como si estuviera al día.</w:t>
      </w:r>
    </w:p>
    <w:p>
      <w:pPr>
        <w:pStyle w:val="ListParagraph"/>
        <w:numPr>
          <w:ilvl w:val="0"/>
          <w:numId w:val="2"/>
        </w:numPr>
        <w:spacing w:after="60" w:line="264"/>
      </w:pPr>
      <w:r>
        <w:rPr>
          <w:b/>
          <w:bCs/>
          <w:color w:val="1A1A1A"/>
          <w:sz w:val="20"/>
          <w:szCs w:val="20"/>
        </w:rPr>
        <w:t xml:space="preserve">Nace conforme a la Ley 21.719. </w:t>
      </w:r>
      <w:r>
        <w:rPr>
          <w:color w:val="1A1A1A"/>
          <w:sz w:val="20"/>
          <w:szCs w:val="20"/>
        </w:rPr>
        <w:t xml:space="preserve">Es dato comercial de puntos y máquinas, no dato personal de consumidores, y cada campo declara su finalidad.</w:t>
      </w:r>
    </w:p>
    <w:p>
      <w:pPr>
        <w:spacing w:after="120" w:before="100" w:line="276"/>
      </w:pPr>
      <w:r>
        <w:rPr>
          <w:color w:val="1A1A1A"/>
          <w:sz w:val="20"/>
          <w:szCs w:val="20"/>
        </w:rPr>
        <w:t xml:space="preserve">Quedan deliberadamente excluidos el alcance, los seguidores y las impresiones, que la rúbrica penaliza como métricas de vanidad; cualquier indicador sin responsable asignado; el NPS por punto durante el piloto, porque con 36 puntos —el 1,06% de la base— no alcanza significancia estadística en noventa días; y los promedios que esconden dispersión, razón por la cual el NPS ponderado se presenta siempre junto al de cada canal.</w:t>
      </w:r>
    </w:p>
    <w:p>
      <w:r>
        <w:br w:type="page"/>
      </w:r>
    </w:p>
    <w:p>
      <w:pPr>
        <w:pStyle w:val="Heading1"/>
        <w:spacing w:after="160" w:before="360"/>
      </w:pPr>
      <w:r>
        <w:t xml:space="preserve">9. Hoja de ruta</w:t>
      </w:r>
    </w:p>
    <w:p>
      <w:pPr>
        <w:spacing w:after="120" w:before="0" w:line="276"/>
      </w:pPr>
      <w:r>
        <w:rPr>
          <w:color w:val="1A1A1A"/>
          <w:sz w:val="20"/>
          <w:szCs w:val="20"/>
        </w:rPr>
        <w:t xml:space="preserve">El diagnóstico previo dejó planteada una decisión sin resolver: la primera fase contiene más oportunidades de las que caben en 36 puntos de piloto y $220.000.000. Esta hoja de ruta la resuelve separando qué entra como piloto con medición, qué como capacidad de base y qué queda como diseño listo para ejecutar.</w:t>
      </w:r>
    </w:p>
    <w:p>
      <w:pPr>
        <w:pStyle w:val="Heading2"/>
        <w:spacing w:after="120" w:before="280"/>
      </w:pPr>
      <w:r>
        <w:t xml:space="preserve">9.1 Los cinco quick wins</w:t>
      </w:r>
    </w:p>
    <w:p>
      <w:pPr>
        <w:spacing w:after="120" w:before="0" w:line="276"/>
      </w:pPr>
      <w:r>
        <w:rPr>
          <w:color w:val="1A1A1A"/>
          <w:sz w:val="20"/>
          <w:szCs w:val="20"/>
        </w:rPr>
        <w:t xml:space="preserve">Se ejecutan en las primeras seis semanas. Lo que los convierte en quick wins no es que sean pequeños, sino que ninguno requiere tecnología nueva ni autorización de un tercero: se ejecutan con el equipo interno, que no consume 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shd w:fill="2B2B2B" w:color="auto" w:val="clear"/>
            <w:tcMar>
              <w:top w:type="dxa" w:w="80"/>
              <w:left w:type="dxa" w:w="110"/>
              <w:bottom w:type="dxa" w:w="80"/>
              <w:right w:type="dxa" w:w="110"/>
            </w:tcMar>
          </w:tcPr>
          <w:p>
            <w:pPr>
              <w:spacing w:after="0" w:line="252"/>
            </w:pPr>
            <w:r>
              <w:rPr>
                <w:b/>
                <w:bCs/>
                <w:color w:val="FFFFFF"/>
                <w:sz w:val="16"/>
                <w:szCs w:val="16"/>
              </w:rPr>
              <w:t xml:space="preserve"/>
            </w:r>
          </w:p>
        </w:tc>
        <w:tc>
          <w:tcPr>
            <w:tcW w:type="dxa" w:w="2600"/>
            <w:shd w:fill="2B2B2B" w:color="auto" w:val="clear"/>
            <w:tcMar>
              <w:top w:type="dxa" w:w="80"/>
              <w:left w:type="dxa" w:w="110"/>
              <w:bottom w:type="dxa" w:w="80"/>
              <w:right w:type="dxa" w:w="110"/>
            </w:tcMar>
          </w:tcPr>
          <w:p>
            <w:pPr>
              <w:spacing w:after="0" w:line="252"/>
            </w:pPr>
            <w:r>
              <w:rPr>
                <w:b/>
                <w:bCs/>
                <w:color w:val="FFFFFF"/>
                <w:sz w:val="16"/>
                <w:szCs w:val="16"/>
              </w:rPr>
              <w:t xml:space="preserve">Iniciativa</w:t>
            </w:r>
          </w:p>
        </w:tc>
        <w:tc>
          <w:tcPr>
            <w:tcW w:type="dxa" w:w="5226"/>
            <w:shd w:fill="2B2B2B" w:color="auto" w:val="clear"/>
            <w:tcMar>
              <w:top w:type="dxa" w:w="80"/>
              <w:left w:type="dxa" w:w="110"/>
              <w:bottom w:type="dxa" w:w="80"/>
              <w:right w:type="dxa" w:w="110"/>
            </w:tcMar>
          </w:tcPr>
          <w:p>
            <w:pPr>
              <w:spacing w:after="0" w:line="252"/>
            </w:pPr>
            <w:r>
              <w:rPr>
                <w:b/>
                <w:bCs/>
                <w:color w:val="FFFFFF"/>
                <w:sz w:val="16"/>
                <w:szCs w:val="16"/>
              </w:rPr>
              <w:t xml:space="preserve">En qué consiste y qué resultado deja</w:t>
            </w:r>
          </w:p>
        </w:tc>
      </w:tr>
      <w:tr>
        <w:trPr>
          <w:tblHeader w:val="false"/>
        </w:trPr>
        <w:tc>
          <w:tcPr>
            <w:tcW w:type="dxa" w:w="1200"/>
            <w:tcMar>
              <w:top w:type="dxa" w:w="80"/>
              <w:left w:type="dxa" w:w="110"/>
              <w:bottom w:type="dxa" w:w="80"/>
              <w:right w:type="dxa" w:w="110"/>
            </w:tcMar>
          </w:tcPr>
          <w:p>
            <w:pPr>
              <w:spacing w:after="0" w:line="252"/>
            </w:pPr>
            <w:r>
              <w:rPr>
                <w:b/>
                <w:bCs/>
                <w:color w:val="1A1A1A"/>
                <w:sz w:val="18"/>
                <w:szCs w:val="18"/>
              </w:rPr>
              <w:t xml:space="preserve">QW1</w:t>
            </w:r>
          </w:p>
        </w:tc>
        <w:tc>
          <w:tcPr>
            <w:tcW w:type="dxa" w:w="2600"/>
            <w:tcMar>
              <w:top w:type="dxa" w:w="80"/>
              <w:left w:type="dxa" w:w="110"/>
              <w:bottom w:type="dxa" w:w="80"/>
              <w:right w:type="dxa" w:w="110"/>
            </w:tcMar>
          </w:tcPr>
          <w:p>
            <w:pPr>
              <w:spacing w:after="0" w:line="252"/>
            </w:pPr>
            <w:r>
              <w:rPr>
                <w:b w:val="false"/>
                <w:bCs w:val="false"/>
                <w:color w:val="1A1A1A"/>
                <w:sz w:val="18"/>
                <w:szCs w:val="18"/>
              </w:rPr>
              <w:t xml:space="preserve">Maestro de puntos</w:t>
            </w:r>
          </w:p>
        </w:tc>
        <w:tc>
          <w:tcPr>
            <w:tcW w:type="dxa" w:w="5226"/>
            <w:tcMar>
              <w:top w:type="dxa" w:w="80"/>
              <w:left w:type="dxa" w:w="110"/>
              <w:bottom w:type="dxa" w:w="80"/>
              <w:right w:type="dxa" w:w="110"/>
            </w:tcMar>
          </w:tcPr>
          <w:p>
            <w:pPr>
              <w:spacing w:after="0" w:line="252"/>
            </w:pPr>
            <w:r>
              <w:rPr>
                <w:b w:val="false"/>
                <w:bCs w:val="false"/>
                <w:color w:val="1A1A1A"/>
                <w:sz w:val="18"/>
                <w:szCs w:val="18"/>
              </w:rPr>
              <w:t xml:space="preserve">Asignar máquina y RUT a cada punto activo y completar la ficha de las cuentas incompletas. No es tecnología sino disciplina de dato, y desbloquea todo lo demás. Resultado: completitud de datos maestros de 26% a 80%.</w:t>
            </w:r>
          </w:p>
        </w:tc>
      </w:tr>
      <w:tr>
        <w:trPr>
          <w:tblHeader w:val="false"/>
        </w:trPr>
        <w:tc>
          <w:tcPr>
            <w:tcW w:type="dxa" w:w="1200"/>
            <w:shd w:fill="F2EFE9" w:color="auto" w:val="clear"/>
            <w:tcMar>
              <w:top w:type="dxa" w:w="80"/>
              <w:left w:type="dxa" w:w="110"/>
              <w:bottom w:type="dxa" w:w="80"/>
              <w:right w:type="dxa" w:w="110"/>
            </w:tcMar>
          </w:tcPr>
          <w:p>
            <w:pPr>
              <w:spacing w:after="0" w:line="252"/>
            </w:pPr>
            <w:r>
              <w:rPr>
                <w:b/>
                <w:bCs/>
                <w:color w:val="1A1A1A"/>
                <w:sz w:val="18"/>
                <w:szCs w:val="18"/>
              </w:rPr>
              <w:t xml:space="preserve">QW2</w:t>
            </w:r>
          </w:p>
        </w:tc>
        <w:tc>
          <w:tcPr>
            <w:tcW w:type="dxa" w:w="2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Estado del pedido para Horeca</w:t>
            </w:r>
          </w:p>
        </w:tc>
        <w:tc>
          <w:tcPr>
            <w:tcW w:type="dxa" w:w="52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Marley ya opera seguimiento de pedido, pero solo en su tienda en línea B2C, que representa el 6% de las ventas y no forma parte del desafío. Ninguno de los cuatro canales B2B lo tiene, y esos son el 63%. No hay que construirlo: hay que extenderlo. Resultado: ataca la primera de las tres fricciones declaradas de Horeca en semanas.</w:t>
            </w:r>
          </w:p>
        </w:tc>
      </w:tr>
      <w:tr>
        <w:trPr>
          <w:tblHeader w:val="false"/>
        </w:trPr>
        <w:tc>
          <w:tcPr>
            <w:tcW w:type="dxa" w:w="1200"/>
            <w:tcMar>
              <w:top w:type="dxa" w:w="80"/>
              <w:left w:type="dxa" w:w="110"/>
              <w:bottom w:type="dxa" w:w="80"/>
              <w:right w:type="dxa" w:w="110"/>
            </w:tcMar>
          </w:tcPr>
          <w:p>
            <w:pPr>
              <w:spacing w:after="0" w:line="252"/>
            </w:pPr>
            <w:r>
              <w:rPr>
                <w:b/>
                <w:bCs/>
                <w:color w:val="1A1A1A"/>
                <w:sz w:val="18"/>
                <w:szCs w:val="18"/>
              </w:rPr>
              <w:t xml:space="preserve">QW3</w:t>
            </w:r>
          </w:p>
        </w:tc>
        <w:tc>
          <w:tcPr>
            <w:tcW w:type="dxa" w:w="2600"/>
            <w:tcMar>
              <w:top w:type="dxa" w:w="80"/>
              <w:left w:type="dxa" w:w="110"/>
              <w:bottom w:type="dxa" w:w="80"/>
              <w:right w:type="dxa" w:w="110"/>
            </w:tcMar>
          </w:tcPr>
          <w:p>
            <w:pPr>
              <w:spacing w:after="0" w:line="252"/>
            </w:pPr>
            <w:r>
              <w:rPr>
                <w:b w:val="false"/>
                <w:bCs w:val="false"/>
                <w:color w:val="1A1A1A"/>
                <w:sz w:val="18"/>
                <w:szCs w:val="18"/>
              </w:rPr>
              <w:t xml:space="preserve">La pregunta de campo</w:t>
            </w:r>
          </w:p>
        </w:tc>
        <w:tc>
          <w:tcPr>
            <w:tcW w:type="dxa" w:w="5226"/>
            <w:tcMar>
              <w:top w:type="dxa" w:w="80"/>
              <w:left w:type="dxa" w:w="110"/>
              <w:bottom w:type="dxa" w:w="80"/>
              <w:right w:type="dxa" w:w="110"/>
            </w:tcMar>
          </w:tcPr>
          <w:p>
            <w:pPr>
              <w:spacing w:after="0" w:line="252"/>
            </w:pPr>
            <w:r>
              <w:rPr>
                <w:b w:val="false"/>
                <w:bCs w:val="false"/>
                <w:color w:val="1A1A1A"/>
                <w:sz w:val="18"/>
                <w:szCs w:val="18"/>
              </w:rPr>
              <w:t xml:space="preserve">Agregar “¿qué sistema de caja utilizan?” a la pauta de levantamiento que el equipo ya aplicará. Costo cero. Resultado: dimensiona a cuántos puntos alcanza la integración con sistemas de terceros.</w:t>
            </w:r>
          </w:p>
        </w:tc>
      </w:tr>
      <w:tr>
        <w:trPr>
          <w:tblHeader w:val="false"/>
        </w:trPr>
        <w:tc>
          <w:tcPr>
            <w:tcW w:type="dxa" w:w="1200"/>
            <w:shd w:fill="F2EFE9" w:color="auto" w:val="clear"/>
            <w:tcMar>
              <w:top w:type="dxa" w:w="80"/>
              <w:left w:type="dxa" w:w="110"/>
              <w:bottom w:type="dxa" w:w="80"/>
              <w:right w:type="dxa" w:w="110"/>
            </w:tcMar>
          </w:tcPr>
          <w:p>
            <w:pPr>
              <w:spacing w:after="0" w:line="252"/>
            </w:pPr>
            <w:r>
              <w:rPr>
                <w:b/>
                <w:bCs/>
                <w:color w:val="1A1A1A"/>
                <w:sz w:val="18"/>
                <w:szCs w:val="18"/>
              </w:rPr>
              <w:t xml:space="preserve">QW4</w:t>
            </w:r>
          </w:p>
        </w:tc>
        <w:tc>
          <w:tcPr>
            <w:tcW w:type="dxa" w:w="2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Cruce renovación por NPS</w:t>
            </w:r>
          </w:p>
        </w:tc>
        <w:tc>
          <w:tcPr>
            <w:tcW w:type="dxa" w:w="52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Con datos que ya existen en el ERP y las encuestas esporádicas, listar las cuentas de OCS que renuevan en noventa días y puntúan bajo. Es una consulta, no un proyecto. Resultado: primera lista de cuentas en riesgo y verificación de la hipótesis de retención frágil.</w:t>
            </w:r>
          </w:p>
        </w:tc>
      </w:tr>
      <w:tr>
        <w:trPr>
          <w:tblHeader w:val="false"/>
        </w:trPr>
        <w:tc>
          <w:tcPr>
            <w:tcW w:type="dxa" w:w="1200"/>
            <w:tcMar>
              <w:top w:type="dxa" w:w="80"/>
              <w:left w:type="dxa" w:w="110"/>
              <w:bottom w:type="dxa" w:w="80"/>
              <w:right w:type="dxa" w:w="110"/>
            </w:tcMar>
          </w:tcPr>
          <w:p>
            <w:pPr>
              <w:spacing w:after="0" w:line="252"/>
            </w:pPr>
            <w:r>
              <w:rPr>
                <w:b/>
                <w:bCs/>
                <w:color w:val="1A1A1A"/>
                <w:sz w:val="18"/>
                <w:szCs w:val="18"/>
              </w:rPr>
              <w:t xml:space="preserve">QW5</w:t>
            </w:r>
          </w:p>
        </w:tc>
        <w:tc>
          <w:tcPr>
            <w:tcW w:type="dxa" w:w="2600"/>
            <w:tcMar>
              <w:top w:type="dxa" w:w="80"/>
              <w:left w:type="dxa" w:w="110"/>
              <w:bottom w:type="dxa" w:w="80"/>
              <w:right w:type="dxa" w:w="110"/>
            </w:tcMar>
          </w:tcPr>
          <w:p>
            <w:pPr>
              <w:spacing w:after="0" w:line="252"/>
            </w:pPr>
            <w:r>
              <w:rPr>
                <w:b w:val="false"/>
                <w:bCs w:val="false"/>
                <w:color w:val="1A1A1A"/>
                <w:sz w:val="18"/>
                <w:szCs w:val="18"/>
              </w:rPr>
              <w:t xml:space="preserve">Homologar el reporte de partners</w:t>
            </w:r>
          </w:p>
        </w:tc>
        <w:tc>
          <w:tcPr>
            <w:tcW w:type="dxa" w:w="5226"/>
            <w:tcMar>
              <w:top w:type="dxa" w:w="80"/>
              <w:left w:type="dxa" w:w="110"/>
              <w:bottom w:type="dxa" w:w="80"/>
              <w:right w:type="dxa" w:w="110"/>
            </w:tcMar>
          </w:tcPr>
          <w:p>
            <w:pPr>
              <w:spacing w:after="0" w:line="252"/>
            </w:pPr>
            <w:r>
              <w:rPr>
                <w:b w:val="false"/>
                <w:bCs w:val="false"/>
                <w:color w:val="1A1A1A"/>
                <w:sz w:val="18"/>
                <w:szCs w:val="18"/>
              </w:rPr>
              <w:t xml:space="preserve">Definir un formato mínimo obligatorio —identificador de punto, RUT, fecha, producto y cantidad— y solicitarlo en el próximo envío mensual. No requiere integración: requiere una plantilla. Resultado: dato de terceros cruzable mientras se negocia la integración.</w:t>
            </w:r>
          </w:p>
        </w:tc>
      </w:tr>
    </w:tbl>
    <w:p>
      <w:pPr>
        <w:pStyle w:val="Heading2"/>
        <w:spacing w:after="120" w:before="280"/>
      </w:pPr>
      <w:r>
        <w:t xml:space="preserve">9.2 Las cuatro fases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tblHeader/>
        </w:trPr>
        <w:tc>
          <w:tcPr>
            <w:tcW w:type="dxa" w:w="1700"/>
            <w:shd w:fill="2B2B2B" w:color="auto" w:val="clear"/>
            <w:tcMar>
              <w:top w:type="dxa" w:w="80"/>
              <w:left w:type="dxa" w:w="110"/>
              <w:bottom w:type="dxa" w:w="80"/>
              <w:right w:type="dxa" w:w="110"/>
            </w:tcMar>
          </w:tcPr>
          <w:p>
            <w:pPr>
              <w:spacing w:after="0" w:line="252"/>
            </w:pPr>
            <w:r>
              <w:rPr>
                <w:b/>
                <w:bCs/>
                <w:color w:val="FFFFFF"/>
                <w:sz w:val="16"/>
                <w:szCs w:val="16"/>
              </w:rPr>
              <w:t xml:space="preserve">Fase</w:t>
            </w:r>
          </w:p>
        </w:tc>
        <w:tc>
          <w:tcPr>
            <w:tcW w:type="dxa" w:w="2200"/>
            <w:shd w:fill="2B2B2B" w:color="auto" w:val="clear"/>
            <w:tcMar>
              <w:top w:type="dxa" w:w="80"/>
              <w:left w:type="dxa" w:w="110"/>
              <w:bottom w:type="dxa" w:w="80"/>
              <w:right w:type="dxa" w:w="110"/>
            </w:tcMar>
          </w:tcPr>
          <w:p>
            <w:pPr>
              <w:spacing w:after="0" w:line="252"/>
            </w:pPr>
            <w:r>
              <w:rPr>
                <w:b/>
                <w:bCs/>
                <w:color w:val="FFFFFF"/>
                <w:sz w:val="16"/>
                <w:szCs w:val="16"/>
              </w:rPr>
              <w:t xml:space="preserve">Foco</w:t>
            </w:r>
          </w:p>
        </w:tc>
        <w:tc>
          <w:tcPr>
            <w:tcW w:type="dxa" w:w="5126"/>
            <w:shd w:fill="2B2B2B" w:color="auto" w:val="clear"/>
            <w:tcMar>
              <w:top w:type="dxa" w:w="80"/>
              <w:left w:type="dxa" w:w="110"/>
              <w:bottom w:type="dxa" w:w="80"/>
              <w:right w:type="dxa" w:w="110"/>
            </w:tcMar>
          </w:tcPr>
          <w:p>
            <w:pPr>
              <w:spacing w:after="0" w:line="252"/>
            </w:pPr>
            <w:r>
              <w:rPr>
                <w:b/>
                <w:bCs/>
                <w:color w:val="FFFFFF"/>
                <w:sz w:val="16"/>
                <w:szCs w:val="16"/>
              </w:rPr>
              <w:t xml:space="preserve">Contenido</w:t>
            </w:r>
          </w:p>
        </w:tc>
      </w:tr>
      <w:tr>
        <w:trPr>
          <w:tblHeader w:val="false"/>
        </w:trPr>
        <w:tc>
          <w:tcPr>
            <w:tcW w:type="dxa" w:w="1700"/>
            <w:tcMar>
              <w:top w:type="dxa" w:w="80"/>
              <w:left w:type="dxa" w:w="110"/>
              <w:bottom w:type="dxa" w:w="80"/>
              <w:right w:type="dxa" w:w="110"/>
            </w:tcMar>
          </w:tcPr>
          <w:p>
            <w:pPr>
              <w:spacing w:after="0" w:line="252"/>
            </w:pPr>
            <w:r>
              <w:rPr>
                <w:b/>
                <w:bCs/>
                <w:color w:val="1A1A1A"/>
                <w:sz w:val="18"/>
                <w:szCs w:val="18"/>
              </w:rPr>
              <w:t xml:space="preserve">Fase 0
Semanas 1 a 6</w:t>
            </w:r>
          </w:p>
        </w:tc>
        <w:tc>
          <w:tcPr>
            <w:tcW w:type="dxa" w:w="2200"/>
            <w:tcMar>
              <w:top w:type="dxa" w:w="80"/>
              <w:left w:type="dxa" w:w="110"/>
              <w:bottom w:type="dxa" w:w="80"/>
              <w:right w:type="dxa" w:w="110"/>
            </w:tcMar>
          </w:tcPr>
          <w:p>
            <w:pPr>
              <w:spacing w:after="0" w:line="252"/>
            </w:pPr>
            <w:r>
              <w:rPr>
                <w:b w:val="false"/>
                <w:bCs w:val="false"/>
                <w:color w:val="1A1A1A"/>
                <w:sz w:val="18"/>
                <w:szCs w:val="18"/>
              </w:rPr>
              <w:t xml:space="preserve">Ver: la capa de identidad</w:t>
            </w:r>
          </w:p>
        </w:tc>
        <w:tc>
          <w:tcPr>
            <w:tcW w:type="dxa" w:w="5126"/>
            <w:tcMar>
              <w:top w:type="dxa" w:w="80"/>
              <w:left w:type="dxa" w:w="110"/>
              <w:bottom w:type="dxa" w:w="80"/>
              <w:right w:type="dxa" w:w="110"/>
            </w:tcMar>
          </w:tcPr>
          <w:p>
            <w:pPr>
              <w:spacing w:after="0" w:line="252"/>
            </w:pPr>
            <w:r>
              <w:rPr>
                <w:b w:val="false"/>
                <w:bCs w:val="false"/>
                <w:color w:val="1A1A1A"/>
                <w:sz w:val="18"/>
                <w:szCs w:val="18"/>
              </w:rPr>
              <w:t xml:space="preserve">Los cinco quick wins. Es la fase más barata y la menos visible, y sin ella las cuatro formas de capturar señal producen datos que no pueden cruzarse. Entrega un maestro de puntos vivo, un formato de partner acordado y la primera lista de cuentas en riesgo. Se ejecuta casi íntegramente con el equipo interno.</w:t>
            </w:r>
          </w:p>
        </w:tc>
      </w:tr>
      <w:tr>
        <w:trPr>
          <w:tblHeader w:val="false"/>
        </w:trPr>
        <w:tc>
          <w:tcPr>
            <w:tcW w:type="dxa" w:w="1700"/>
            <w:shd w:fill="F2EFE9" w:color="auto" w:val="clear"/>
            <w:tcMar>
              <w:top w:type="dxa" w:w="80"/>
              <w:left w:type="dxa" w:w="110"/>
              <w:bottom w:type="dxa" w:w="80"/>
              <w:right w:type="dxa" w:w="110"/>
            </w:tcMar>
          </w:tcPr>
          <w:p>
            <w:pPr>
              <w:spacing w:after="0" w:line="252"/>
            </w:pPr>
            <w:r>
              <w:rPr>
                <w:b/>
                <w:bCs/>
                <w:color w:val="1A1A1A"/>
                <w:sz w:val="18"/>
                <w:szCs w:val="18"/>
              </w:rPr>
              <w:t xml:space="preserve">Fase 1
Meses 2 a 4</w:t>
            </w:r>
          </w:p>
        </w:tc>
        <w:tc>
          <w:tcPr>
            <w:tcW w:type="dxa" w:w="22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Escuchar: los pilotos</w:t>
            </w:r>
          </w:p>
        </w:tc>
        <w:tc>
          <w:tcPr>
            <w:tcW w:type="dxa" w:w="51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Los 36 puntos autorizados, cada canal con su método: portal en 8 puntos Horeca, telemetría en 6 instalaciones OCS, integración de caja con un operador en 12 puntos de conveniencia, y portal más caja en 10 panaderías. La medición se construye sobre pedidos, incidencias e interacciones contra grupo de control, no sobre NPS por punto.</w:t>
            </w:r>
          </w:p>
        </w:tc>
      </w:tr>
      <w:tr>
        <w:trPr>
          <w:tblHeader w:val="false"/>
        </w:trPr>
        <w:tc>
          <w:tcPr>
            <w:tcW w:type="dxa" w:w="1700"/>
            <w:tcMar>
              <w:top w:type="dxa" w:w="80"/>
              <w:left w:type="dxa" w:w="110"/>
              <w:bottom w:type="dxa" w:w="80"/>
              <w:right w:type="dxa" w:w="110"/>
            </w:tcMar>
          </w:tcPr>
          <w:p>
            <w:pPr>
              <w:spacing w:after="0" w:line="252"/>
            </w:pPr>
            <w:r>
              <w:rPr>
                <w:b/>
                <w:bCs/>
                <w:color w:val="1A1A1A"/>
                <w:sz w:val="18"/>
                <w:szCs w:val="18"/>
              </w:rPr>
              <w:t xml:space="preserve">Fase 2
Meses 5 a 8</w:t>
            </w:r>
          </w:p>
        </w:tc>
        <w:tc>
          <w:tcPr>
            <w:tcW w:type="dxa" w:w="2200"/>
            <w:tcMar>
              <w:top w:type="dxa" w:w="80"/>
              <w:left w:type="dxa" w:w="110"/>
              <w:bottom w:type="dxa" w:w="80"/>
              <w:right w:type="dxa" w:w="110"/>
            </w:tcMar>
          </w:tcPr>
          <w:p>
            <w:pPr>
              <w:spacing w:after="0" w:line="252"/>
            </w:pPr>
            <w:r>
              <w:rPr>
                <w:b w:val="false"/>
                <w:bCs w:val="false"/>
                <w:color w:val="1A1A1A"/>
                <w:sz w:val="18"/>
                <w:szCs w:val="18"/>
              </w:rPr>
              <w:t xml:space="preserve">Anticipar</w:t>
            </w:r>
          </w:p>
        </w:tc>
        <w:tc>
          <w:tcPr>
            <w:tcW w:type="dxa" w:w="5126"/>
            <w:tcMar>
              <w:top w:type="dxa" w:w="80"/>
              <w:left w:type="dxa" w:w="110"/>
              <w:bottom w:type="dxa" w:w="80"/>
              <w:right w:type="dxa" w:w="110"/>
            </w:tcMar>
          </w:tcPr>
          <w:p>
            <w:pPr>
              <w:spacing w:after="0" w:line="252"/>
            </w:pPr>
            <w:r>
              <w:rPr>
                <w:b w:val="false"/>
                <w:bCs w:val="false"/>
                <w:color w:val="1A1A1A"/>
                <w:sz w:val="18"/>
                <w:szCs w:val="18"/>
              </w:rPr>
              <w:t xml:space="preserve">Sobre los puntos que ya emiten señal se activa la lógica predictiva: alertas de quiebre a siete días, pedido sugerido automático y acuerdo de servicio técnico accionado por la señal de la máquina. En paralelo corren las negociaciones que no dependen de tecnología sino de acuerdo: segundo operador de conveniencia, proveedor de sistema de caja y renovación del contrato con el partner de OCS.</w:t>
            </w:r>
          </w:p>
        </w:tc>
      </w:tr>
      <w:tr>
        <w:trPr>
          <w:tblHeader w:val="false"/>
        </w:trPr>
        <w:tc>
          <w:tcPr>
            <w:tcW w:type="dxa" w:w="1700"/>
            <w:shd w:fill="F2EFE9" w:color="auto" w:val="clear"/>
            <w:tcMar>
              <w:top w:type="dxa" w:w="80"/>
              <w:left w:type="dxa" w:w="110"/>
              <w:bottom w:type="dxa" w:w="80"/>
              <w:right w:type="dxa" w:w="110"/>
            </w:tcMar>
          </w:tcPr>
          <w:p>
            <w:pPr>
              <w:spacing w:after="0" w:line="252"/>
            </w:pPr>
            <w:r>
              <w:rPr>
                <w:b/>
                <w:bCs/>
                <w:color w:val="1A1A1A"/>
                <w:sz w:val="18"/>
                <w:szCs w:val="18"/>
              </w:rPr>
              <w:t xml:space="preserve">Fase 3
Meses 9 a 12</w:t>
            </w:r>
          </w:p>
        </w:tc>
        <w:tc>
          <w:tcPr>
            <w:tcW w:type="dxa" w:w="22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Escalar</w:t>
            </w:r>
          </w:p>
        </w:tc>
        <w:tc>
          <w:tcPr>
            <w:tcW w:type="dxa" w:w="51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Se extiende únicamente lo que superó su umbral en la Fase 1; lo que no lo pasó se corrige o se detiene y su presupuesto se libera. Se completa el tablero con sus cinco vistas y responsables asignados, y se incorpora al alta que todo punto nuevo nazca con identidad completa, de modo que no haya que limpiar después.</w:t>
            </w:r>
          </w:p>
        </w:tc>
      </w:tr>
    </w:tbl>
    <w:p>
      <w:pPr>
        <w:pStyle w:val="Heading2"/>
        <w:spacing w:after="120" w:before="280"/>
      </w:pPr>
      <w:r>
        <w:t xml:space="preserve">9.3 Criterios objetivos para escalar, corregir o detener</w:t>
      </w:r>
    </w:p>
    <w:p>
      <w:pPr>
        <w:spacing w:after="120" w:before="0" w:line="276"/>
      </w:pPr>
      <w:r>
        <w:rPr>
          <w:color w:val="1A1A1A"/>
          <w:sz w:val="20"/>
          <w:szCs w:val="20"/>
        </w:rPr>
        <w:t xml:space="preserve">El desafío los exige explícitamente. Se fijan antes del piloto y no después de observar los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shd w:fill="2B2B2B" w:color="auto" w:val="clear"/>
            <w:tcMar>
              <w:top w:type="dxa" w:w="80"/>
              <w:left w:type="dxa" w:w="110"/>
              <w:bottom w:type="dxa" w:w="80"/>
              <w:right w:type="dxa" w:w="110"/>
            </w:tcMar>
          </w:tcPr>
          <w:p>
            <w:pPr>
              <w:spacing w:after="0" w:line="252"/>
            </w:pPr>
            <w:r>
              <w:rPr>
                <w:b/>
                <w:bCs/>
                <w:color w:val="FFFFFF"/>
                <w:sz w:val="16"/>
                <w:szCs w:val="16"/>
              </w:rPr>
              <w:t xml:space="preserve">Iniciativa</w:t>
            </w:r>
          </w:p>
        </w:tc>
        <w:tc>
          <w:tcPr>
            <w:tcW w:type="dxa" w:w="2400"/>
            <w:shd w:fill="2B2B2B" w:color="auto" w:val="clear"/>
            <w:tcMar>
              <w:top w:type="dxa" w:w="80"/>
              <w:left w:type="dxa" w:w="110"/>
              <w:bottom w:type="dxa" w:w="80"/>
              <w:right w:type="dxa" w:w="110"/>
            </w:tcMar>
          </w:tcPr>
          <w:p>
            <w:pPr>
              <w:spacing w:after="0" w:line="252"/>
            </w:pPr>
            <w:r>
              <w:rPr>
                <w:b/>
                <w:bCs/>
                <w:color w:val="FFFFFF"/>
                <w:sz w:val="16"/>
                <w:szCs w:val="16"/>
              </w:rPr>
              <w:t xml:space="preserve">Escalar si</w:t>
            </w:r>
          </w:p>
        </w:tc>
        <w:tc>
          <w:tcPr>
            <w:tcW w:type="dxa" w:w="2400"/>
            <w:shd w:fill="2B2B2B" w:color="auto" w:val="clear"/>
            <w:tcMar>
              <w:top w:type="dxa" w:w="80"/>
              <w:left w:type="dxa" w:w="110"/>
              <w:bottom w:type="dxa" w:w="80"/>
              <w:right w:type="dxa" w:w="110"/>
            </w:tcMar>
          </w:tcPr>
          <w:p>
            <w:pPr>
              <w:spacing w:after="0" w:line="252"/>
            </w:pPr>
            <w:r>
              <w:rPr>
                <w:b/>
                <w:bCs/>
                <w:color w:val="FFFFFF"/>
                <w:sz w:val="16"/>
                <w:szCs w:val="16"/>
              </w:rPr>
              <w:t xml:space="preserve">Corregir si</w:t>
            </w:r>
          </w:p>
        </w:tc>
        <w:tc>
          <w:tcPr>
            <w:tcW w:type="dxa" w:w="2426"/>
            <w:shd w:fill="2B2B2B" w:color="auto" w:val="clear"/>
            <w:tcMar>
              <w:top w:type="dxa" w:w="80"/>
              <w:left w:type="dxa" w:w="110"/>
              <w:bottom w:type="dxa" w:w="80"/>
              <w:right w:type="dxa" w:w="110"/>
            </w:tcMar>
          </w:tcPr>
          <w:p>
            <w:pPr>
              <w:spacing w:after="0" w:line="252"/>
            </w:pPr>
            <w:r>
              <w:rPr>
                <w:b/>
                <w:bCs/>
                <w:color w:val="FFFFFF"/>
                <w:sz w:val="16"/>
                <w:szCs w:val="16"/>
              </w:rPr>
              <w:t xml:space="preserve">Detener si</w:t>
            </w:r>
          </w:p>
        </w:tc>
      </w:tr>
      <w:tr>
        <w:trPr>
          <w:tblHeader w:val="false"/>
        </w:trPr>
        <w:tc>
          <w:tcPr>
            <w:tcW w:type="dxa" w:w="1800"/>
            <w:tcMar>
              <w:top w:type="dxa" w:w="80"/>
              <w:left w:type="dxa" w:w="110"/>
              <w:bottom w:type="dxa" w:w="80"/>
              <w:right w:type="dxa" w:w="110"/>
            </w:tcMar>
          </w:tcPr>
          <w:p>
            <w:pPr>
              <w:spacing w:after="0" w:line="252"/>
            </w:pPr>
            <w:r>
              <w:rPr>
                <w:b/>
                <w:bCs/>
                <w:color w:val="1A1A1A"/>
                <w:sz w:val="18"/>
                <w:szCs w:val="18"/>
              </w:rPr>
              <w:t xml:space="preserve">Portal Horeca</w:t>
            </w:r>
          </w:p>
        </w:tc>
        <w:tc>
          <w:tcPr>
            <w:tcW w:type="dxa" w:w="2400"/>
            <w:tcMar>
              <w:top w:type="dxa" w:w="80"/>
              <w:left w:type="dxa" w:w="110"/>
              <w:bottom w:type="dxa" w:w="80"/>
              <w:right w:type="dxa" w:w="110"/>
            </w:tcMar>
          </w:tcPr>
          <w:p>
            <w:pPr>
              <w:spacing w:after="0" w:line="252"/>
            </w:pPr>
            <w:r>
              <w:rPr>
                <w:b w:val="false"/>
                <w:bCs w:val="false"/>
                <w:color w:val="1A1A1A"/>
                <w:sz w:val="18"/>
                <w:szCs w:val="18"/>
              </w:rPr>
              <w:t xml:space="preserve">Al menos 60% de los 8 puntos realiza dos o más pedidos por el portal en noventa días y baja el tiempo de ciclo</w:t>
            </w:r>
          </w:p>
        </w:tc>
        <w:tc>
          <w:tcPr>
            <w:tcW w:type="dxa" w:w="2400"/>
            <w:tcMar>
              <w:top w:type="dxa" w:w="80"/>
              <w:left w:type="dxa" w:w="110"/>
              <w:bottom w:type="dxa" w:w="80"/>
              <w:right w:type="dxa" w:w="110"/>
            </w:tcMar>
          </w:tcPr>
          <w:p>
            <w:pPr>
              <w:spacing w:after="0" w:line="252"/>
            </w:pPr>
            <w:r>
              <w:rPr>
                <w:b w:val="false"/>
                <w:bCs w:val="false"/>
                <w:color w:val="1A1A1A"/>
                <w:sz w:val="18"/>
                <w:szCs w:val="18"/>
              </w:rPr>
              <w:t xml:space="preserve">Lo adoptan pero el tiempo de ciclo no se mueve: el problema está en el proceso, no en la herramienta</w:t>
            </w:r>
          </w:p>
        </w:tc>
        <w:tc>
          <w:tcPr>
            <w:tcW w:type="dxa" w:w="2426"/>
            <w:tcMar>
              <w:top w:type="dxa" w:w="80"/>
              <w:left w:type="dxa" w:w="110"/>
              <w:bottom w:type="dxa" w:w="80"/>
              <w:right w:type="dxa" w:w="110"/>
            </w:tcMar>
          </w:tcPr>
          <w:p>
            <w:pPr>
              <w:spacing w:after="0" w:line="252"/>
            </w:pPr>
            <w:r>
              <w:rPr>
                <w:b w:val="false"/>
                <w:bCs w:val="false"/>
                <w:color w:val="1A1A1A"/>
                <w:sz w:val="18"/>
                <w:szCs w:val="18"/>
              </w:rPr>
              <w:t xml:space="preserve">Menos del 30% lo usa: el problema no es la herramienta sino la propuesta de valor</w:t>
            </w:r>
          </w:p>
        </w:tc>
      </w:tr>
      <w:tr>
        <w:trPr>
          <w:tblHeader w:val="false"/>
        </w:trPr>
        <w:tc>
          <w:tcPr>
            <w:tcW w:type="dxa" w:w="1800"/>
            <w:shd w:fill="F2EFE9" w:color="auto" w:val="clear"/>
            <w:tcMar>
              <w:top w:type="dxa" w:w="80"/>
              <w:left w:type="dxa" w:w="110"/>
              <w:bottom w:type="dxa" w:w="80"/>
              <w:right w:type="dxa" w:w="110"/>
            </w:tcMar>
          </w:tcPr>
          <w:p>
            <w:pPr>
              <w:spacing w:after="0" w:line="252"/>
            </w:pPr>
            <w:r>
              <w:rPr>
                <w:b/>
                <w:bCs/>
                <w:color w:val="1A1A1A"/>
                <w:sz w:val="18"/>
                <w:szCs w:val="18"/>
              </w:rPr>
              <w:t xml:space="preserve">Telemetría OCS</w:t>
            </w:r>
          </w:p>
        </w:tc>
        <w:tc>
          <w:tcPr>
            <w:tcW w:type="dxa" w:w="2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La señal llega en al menos 5 de 6 equipos y anticipa al menos un quiebre antes de que ocurra</w:t>
            </w:r>
          </w:p>
        </w:tc>
        <w:tc>
          <w:tcPr>
            <w:tcW w:type="dxa" w:w="2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La señal llega pero nadie acciona sobre la alerta: falta el responsable, no el dato</w:t>
            </w:r>
          </w:p>
        </w:tc>
        <w:tc>
          <w:tcPr>
            <w:tcW w:type="dxa" w:w="24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El reacondicionamiento no resulta técnicamente viable en el parque instalado</w:t>
            </w:r>
          </w:p>
        </w:tc>
      </w:tr>
      <w:tr>
        <w:trPr>
          <w:tblHeader w:val="false"/>
        </w:trPr>
        <w:tc>
          <w:tcPr>
            <w:tcW w:type="dxa" w:w="1800"/>
            <w:tcMar>
              <w:top w:type="dxa" w:w="80"/>
              <w:left w:type="dxa" w:w="110"/>
              <w:bottom w:type="dxa" w:w="80"/>
              <w:right w:type="dxa" w:w="110"/>
            </w:tcMar>
          </w:tcPr>
          <w:p>
            <w:pPr>
              <w:spacing w:after="0" w:line="252"/>
            </w:pPr>
            <w:r>
              <w:rPr>
                <w:b/>
                <w:bCs/>
                <w:color w:val="1A1A1A"/>
                <w:sz w:val="18"/>
                <w:szCs w:val="18"/>
              </w:rPr>
              <w:t xml:space="preserve">Integración de caja</w:t>
            </w:r>
          </w:p>
        </w:tc>
        <w:tc>
          <w:tcPr>
            <w:tcW w:type="dxa" w:w="2400"/>
            <w:tcMar>
              <w:top w:type="dxa" w:w="80"/>
              <w:left w:type="dxa" w:w="110"/>
              <w:bottom w:type="dxa" w:w="80"/>
              <w:right w:type="dxa" w:w="110"/>
            </w:tcMar>
          </w:tcPr>
          <w:p>
            <w:pPr>
              <w:spacing w:after="0" w:line="252"/>
            </w:pPr>
            <w:r>
              <w:rPr>
                <w:b w:val="false"/>
                <w:bCs w:val="false"/>
                <w:color w:val="1A1A1A"/>
                <w:sz w:val="18"/>
                <w:szCs w:val="18"/>
              </w:rPr>
              <w:t xml:space="preserve">El operador autoriza y el dato llega diariamente en al menos 80% de los días</w:t>
            </w:r>
          </w:p>
        </w:tc>
        <w:tc>
          <w:tcPr>
            <w:tcW w:type="dxa" w:w="2400"/>
            <w:tcMar>
              <w:top w:type="dxa" w:w="80"/>
              <w:left w:type="dxa" w:w="110"/>
              <w:bottom w:type="dxa" w:w="80"/>
              <w:right w:type="dxa" w:w="110"/>
            </w:tcMar>
          </w:tcPr>
          <w:p>
            <w:pPr>
              <w:spacing w:after="0" w:line="252"/>
            </w:pPr>
            <w:r>
              <w:rPr>
                <w:b w:val="false"/>
                <w:bCs w:val="false"/>
                <w:color w:val="1A1A1A"/>
                <w:sz w:val="18"/>
                <w:szCs w:val="18"/>
              </w:rPr>
              <w:t xml:space="preserve">El dato llega pero el producto no es identificable: hay que codificar el artículo en el punto</w:t>
            </w:r>
          </w:p>
        </w:tc>
        <w:tc>
          <w:tcPr>
            <w:tcW w:type="dxa" w:w="2426"/>
            <w:tcMar>
              <w:top w:type="dxa" w:w="80"/>
              <w:left w:type="dxa" w:w="110"/>
              <w:bottom w:type="dxa" w:w="80"/>
              <w:right w:type="dxa" w:w="110"/>
            </w:tcMar>
          </w:tcPr>
          <w:p>
            <w:pPr>
              <w:spacing w:after="0" w:line="252"/>
            </w:pPr>
            <w:r>
              <w:rPr>
                <w:b w:val="false"/>
                <w:bCs w:val="false"/>
                <w:color w:val="1A1A1A"/>
                <w:sz w:val="18"/>
                <w:szCs w:val="18"/>
              </w:rPr>
              <w:t xml:space="preserve">A los sesenta días no hay autorización firmada: se libera el presupuesto a otra iniciativa</w:t>
            </w:r>
          </w:p>
        </w:tc>
      </w:tr>
      <w:tr>
        <w:trPr>
          <w:tblHeader w:val="false"/>
        </w:trPr>
        <w:tc>
          <w:tcPr>
            <w:tcW w:type="dxa" w:w="1800"/>
            <w:shd w:fill="F2EFE9" w:color="auto" w:val="clear"/>
            <w:tcMar>
              <w:top w:type="dxa" w:w="80"/>
              <w:left w:type="dxa" w:w="110"/>
              <w:bottom w:type="dxa" w:w="80"/>
              <w:right w:type="dxa" w:w="110"/>
            </w:tcMar>
          </w:tcPr>
          <w:p>
            <w:pPr>
              <w:spacing w:after="0" w:line="252"/>
            </w:pPr>
            <w:r>
              <w:rPr>
                <w:b/>
                <w:bCs/>
                <w:color w:val="1A1A1A"/>
                <w:sz w:val="18"/>
                <w:szCs w:val="18"/>
              </w:rPr>
              <w:t xml:space="preserve">Maestro de puntos</w:t>
            </w:r>
          </w:p>
        </w:tc>
        <w:tc>
          <w:tcPr>
            <w:tcW w:type="dxa" w:w="2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Completitud igual o superior a 80% al cierre de la semana 6</w:t>
            </w:r>
          </w:p>
        </w:tc>
        <w:tc>
          <w:tcPr>
            <w:tcW w:type="dxa" w:w="2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Entre 50% y 80%: falta fuente, no esfuerzo</w:t>
            </w:r>
          </w:p>
        </w:tc>
        <w:tc>
          <w:tcPr>
            <w:tcW w:type="dxa" w:w="24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No se detiene: es condición de todo lo demás</w:t>
            </w:r>
          </w:p>
        </w:tc>
      </w:tr>
    </w:tbl>
    <w:p>
      <w:pPr>
        <w:pStyle w:val="Heading2"/>
        <w:spacing w:after="120" w:before="280"/>
      </w:pPr>
      <w:r>
        <w:t xml:space="preserve">9.4 Reparto del presupuesto</w:t>
      </w:r>
    </w:p>
    <w:p>
      <w:pPr>
        <w:spacing w:after="120" w:before="0" w:line="276"/>
      </w:pPr>
      <w:r>
        <w:rPr>
          <w:color w:val="1A1A1A"/>
          <w:sz w:val="20"/>
          <w:szCs w:val="20"/>
        </w:rPr>
        <w:t xml:space="preserve">Los porcentajes son propuesta del equipo y los montos son aritmética sobre los $220.000.000 del caso. No constituyen cotización: las cifras finales requieren cotizar desarrollo, equipamiento e integración. Debe recordarse que el equipo interno no consume este presupuesto y los proveedores externos sí.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000"/>
        <w:gridCol w:w="2000"/>
        <w:gridCol w:w="3926"/>
      </w:tblGrid>
      <w:tr>
        <w:trPr>
          <w:tblHeader/>
        </w:trPr>
        <w:tc>
          <w:tcPr>
            <w:tcW w:type="dxa" w:w="2100"/>
            <w:shd w:fill="2B2B2B" w:color="auto" w:val="clear"/>
            <w:tcMar>
              <w:top w:type="dxa" w:w="80"/>
              <w:left w:type="dxa" w:w="110"/>
              <w:bottom w:type="dxa" w:w="80"/>
              <w:right w:type="dxa" w:w="110"/>
            </w:tcMar>
          </w:tcPr>
          <w:p>
            <w:pPr>
              <w:spacing w:after="0" w:line="252"/>
            </w:pPr>
            <w:r>
              <w:rPr>
                <w:b/>
                <w:bCs/>
                <w:color w:val="FFFFFF"/>
                <w:sz w:val="16"/>
                <w:szCs w:val="16"/>
              </w:rPr>
              <w:t xml:space="preserve">Fase</w:t>
            </w:r>
          </w:p>
        </w:tc>
        <w:tc>
          <w:tcPr>
            <w:tcW w:type="dxa" w:w="1000"/>
            <w:shd w:fill="2B2B2B" w:color="auto" w:val="clear"/>
            <w:tcMar>
              <w:top w:type="dxa" w:w="80"/>
              <w:left w:type="dxa" w:w="110"/>
              <w:bottom w:type="dxa" w:w="80"/>
              <w:right w:type="dxa" w:w="110"/>
            </w:tcMar>
          </w:tcPr>
          <w:p>
            <w:pPr>
              <w:spacing w:after="0" w:line="252"/>
            </w:pPr>
            <w:r>
              <w:rPr>
                <w:b/>
                <w:bCs/>
                <w:color w:val="FFFFFF"/>
                <w:sz w:val="16"/>
                <w:szCs w:val="16"/>
              </w:rPr>
              <w:t xml:space="preserve">%</w:t>
            </w:r>
          </w:p>
        </w:tc>
        <w:tc>
          <w:tcPr>
            <w:tcW w:type="dxa" w:w="2000"/>
            <w:shd w:fill="2B2B2B" w:color="auto" w:val="clear"/>
            <w:tcMar>
              <w:top w:type="dxa" w:w="80"/>
              <w:left w:type="dxa" w:w="110"/>
              <w:bottom w:type="dxa" w:w="80"/>
              <w:right w:type="dxa" w:w="110"/>
            </w:tcMar>
          </w:tcPr>
          <w:p>
            <w:pPr>
              <w:spacing w:after="0" w:line="252"/>
            </w:pPr>
            <w:r>
              <w:rPr>
                <w:b/>
                <w:bCs/>
                <w:color w:val="FFFFFF"/>
                <w:sz w:val="16"/>
                <w:szCs w:val="16"/>
              </w:rPr>
              <w:t xml:space="preserve">Monto</w:t>
            </w:r>
          </w:p>
        </w:tc>
        <w:tc>
          <w:tcPr>
            <w:tcW w:type="dxa" w:w="3926"/>
            <w:shd w:fill="2B2B2B" w:color="auto" w:val="clear"/>
            <w:tcMar>
              <w:top w:type="dxa" w:w="80"/>
              <w:left w:type="dxa" w:w="110"/>
              <w:bottom w:type="dxa" w:w="80"/>
              <w:right w:type="dxa" w:w="110"/>
            </w:tcMar>
          </w:tcPr>
          <w:p>
            <w:pPr>
              <w:spacing w:after="0" w:line="252"/>
            </w:pPr>
            <w:r>
              <w:rPr>
                <w:b/>
                <w:bCs/>
                <w:color w:val="FFFFFF"/>
                <w:sz w:val="16"/>
                <w:szCs w:val="16"/>
              </w:rPr>
              <w:t xml:space="preserve">Qué financia</w:t>
            </w:r>
          </w:p>
        </w:tc>
      </w:tr>
      <w:tr>
        <w:trPr>
          <w:tblHeader w:val="false"/>
        </w:trPr>
        <w:tc>
          <w:tcPr>
            <w:tcW w:type="dxa" w:w="2100"/>
            <w:tcMar>
              <w:top w:type="dxa" w:w="80"/>
              <w:left w:type="dxa" w:w="110"/>
              <w:bottom w:type="dxa" w:w="80"/>
              <w:right w:type="dxa" w:w="110"/>
            </w:tcMar>
          </w:tcPr>
          <w:p>
            <w:pPr>
              <w:spacing w:after="0" w:line="252"/>
            </w:pPr>
            <w:r>
              <w:rPr>
                <w:b w:val="false"/>
                <w:bCs w:val="false"/>
                <w:color w:val="1A1A1A"/>
                <w:sz w:val="18"/>
                <w:szCs w:val="18"/>
              </w:rPr>
              <w:t xml:space="preserve">Fase 0 · Ver</w:t>
            </w:r>
          </w:p>
        </w:tc>
        <w:tc>
          <w:tcPr>
            <w:tcW w:type="dxa" w:w="1000"/>
            <w:tcMar>
              <w:top w:type="dxa" w:w="80"/>
              <w:left w:type="dxa" w:w="110"/>
              <w:bottom w:type="dxa" w:w="80"/>
              <w:right w:type="dxa" w:w="110"/>
            </w:tcMar>
          </w:tcPr>
          <w:p>
            <w:pPr>
              <w:spacing w:after="0" w:line="252"/>
            </w:pPr>
            <w:r>
              <w:rPr>
                <w:b w:val="false"/>
                <w:bCs w:val="false"/>
                <w:color w:val="1A1A1A"/>
                <w:sz w:val="18"/>
                <w:szCs w:val="18"/>
              </w:rPr>
              <w:t xml:space="preserve">5%</w:t>
            </w:r>
          </w:p>
        </w:tc>
        <w:tc>
          <w:tcPr>
            <w:tcW w:type="dxa" w:w="2000"/>
            <w:tcMar>
              <w:top w:type="dxa" w:w="80"/>
              <w:left w:type="dxa" w:w="110"/>
              <w:bottom w:type="dxa" w:w="80"/>
              <w:right w:type="dxa" w:w="110"/>
            </w:tcMar>
          </w:tcPr>
          <w:p>
            <w:pPr>
              <w:spacing w:after="0" w:line="252"/>
            </w:pPr>
            <w:r>
              <w:rPr>
                <w:b w:val="false"/>
                <w:bCs w:val="false"/>
                <w:color w:val="1A1A1A"/>
                <w:sz w:val="18"/>
                <w:szCs w:val="18"/>
              </w:rPr>
              <w:t xml:space="preserve">$11.000.000</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Casi todo interno. Apoyo puntual de datos y la plantilla de homologación de partners.</w:t>
            </w:r>
          </w:p>
        </w:tc>
      </w:tr>
      <w:tr>
        <w:trPr>
          <w:tblHeader w:val="false"/>
        </w:trPr>
        <w:tc>
          <w:tcPr>
            <w:tcW w:type="dxa" w:w="2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Fase 1 · Escuchar</w:t>
            </w:r>
          </w:p>
        </w:tc>
        <w:tc>
          <w:tcPr>
            <w:tcW w:type="dxa" w:w="1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30%</w:t>
            </w:r>
          </w:p>
        </w:tc>
        <w:tc>
          <w:tcPr>
            <w:tcW w:type="dxa" w:w="2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$66.000.000</w:t>
            </w:r>
          </w:p>
        </w:tc>
        <w:tc>
          <w:tcPr>
            <w:tcW w:type="dxa" w:w="3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Desarrollo del portal en versión mínima, equipamiento de telemetría para seis máquinas y primera integración de caja.</w:t>
            </w:r>
          </w:p>
        </w:tc>
      </w:tr>
      <w:tr>
        <w:trPr>
          <w:tblHeader w:val="false"/>
        </w:trPr>
        <w:tc>
          <w:tcPr>
            <w:tcW w:type="dxa" w:w="2100"/>
            <w:tcMar>
              <w:top w:type="dxa" w:w="80"/>
              <w:left w:type="dxa" w:w="110"/>
              <w:bottom w:type="dxa" w:w="80"/>
              <w:right w:type="dxa" w:w="110"/>
            </w:tcMar>
          </w:tcPr>
          <w:p>
            <w:pPr>
              <w:spacing w:after="0" w:line="252"/>
            </w:pPr>
            <w:r>
              <w:rPr>
                <w:b w:val="false"/>
                <w:bCs w:val="false"/>
                <w:color w:val="1A1A1A"/>
                <w:sz w:val="18"/>
                <w:szCs w:val="18"/>
              </w:rPr>
              <w:t xml:space="preserve">Fase 2 · Anticipar</w:t>
            </w:r>
          </w:p>
        </w:tc>
        <w:tc>
          <w:tcPr>
            <w:tcW w:type="dxa" w:w="1000"/>
            <w:tcMar>
              <w:top w:type="dxa" w:w="80"/>
              <w:left w:type="dxa" w:w="110"/>
              <w:bottom w:type="dxa" w:w="80"/>
              <w:right w:type="dxa" w:w="110"/>
            </w:tcMar>
          </w:tcPr>
          <w:p>
            <w:pPr>
              <w:spacing w:after="0" w:line="252"/>
            </w:pPr>
            <w:r>
              <w:rPr>
                <w:b w:val="false"/>
                <w:bCs w:val="false"/>
                <w:color w:val="1A1A1A"/>
                <w:sz w:val="18"/>
                <w:szCs w:val="18"/>
              </w:rPr>
              <w:t xml:space="preserve">35%</w:t>
            </w:r>
          </w:p>
        </w:tc>
        <w:tc>
          <w:tcPr>
            <w:tcW w:type="dxa" w:w="2000"/>
            <w:tcMar>
              <w:top w:type="dxa" w:w="80"/>
              <w:left w:type="dxa" w:w="110"/>
              <w:bottom w:type="dxa" w:w="80"/>
              <w:right w:type="dxa" w:w="110"/>
            </w:tcMar>
          </w:tcPr>
          <w:p>
            <w:pPr>
              <w:spacing w:after="0" w:line="252"/>
            </w:pPr>
            <w:r>
              <w:rPr>
                <w:b w:val="false"/>
                <w:bCs w:val="false"/>
                <w:color w:val="1A1A1A"/>
                <w:sz w:val="18"/>
                <w:szCs w:val="18"/>
              </w:rPr>
              <w:t xml:space="preserve">$77.000.000</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Lógica predictiva, segundo operador, integración adicional y gestión del cambio.</w:t>
            </w:r>
          </w:p>
        </w:tc>
      </w:tr>
      <w:tr>
        <w:trPr>
          <w:tblHeader w:val="false"/>
        </w:trPr>
        <w:tc>
          <w:tcPr>
            <w:tcW w:type="dxa" w:w="21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Fase 3 · Escalar</w:t>
            </w:r>
          </w:p>
        </w:tc>
        <w:tc>
          <w:tcPr>
            <w:tcW w:type="dxa" w:w="1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20%</w:t>
            </w:r>
          </w:p>
        </w:tc>
        <w:tc>
          <w:tcPr>
            <w:tcW w:type="dxa" w:w="20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$44.000.000</w:t>
            </w:r>
          </w:p>
        </w:tc>
        <w:tc>
          <w:tcPr>
            <w:tcW w:type="dxa" w:w="39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Extensión de lo validado y tablero completo.</w:t>
            </w:r>
          </w:p>
        </w:tc>
      </w:tr>
      <w:tr>
        <w:trPr>
          <w:tblHeader w:val="false"/>
        </w:trPr>
        <w:tc>
          <w:tcPr>
            <w:tcW w:type="dxa" w:w="2100"/>
            <w:tcMar>
              <w:top w:type="dxa" w:w="80"/>
              <w:left w:type="dxa" w:w="110"/>
              <w:bottom w:type="dxa" w:w="80"/>
              <w:right w:type="dxa" w:w="110"/>
            </w:tcMar>
          </w:tcPr>
          <w:p>
            <w:pPr>
              <w:spacing w:after="0" w:line="252"/>
            </w:pPr>
            <w:r>
              <w:rPr>
                <w:b w:val="false"/>
                <w:bCs w:val="false"/>
                <w:color w:val="1A1A1A"/>
                <w:sz w:val="18"/>
                <w:szCs w:val="18"/>
              </w:rPr>
              <w:t xml:space="preserve">Contingencia</w:t>
            </w:r>
          </w:p>
        </w:tc>
        <w:tc>
          <w:tcPr>
            <w:tcW w:type="dxa" w:w="1000"/>
            <w:tcMar>
              <w:top w:type="dxa" w:w="80"/>
              <w:left w:type="dxa" w:w="110"/>
              <w:bottom w:type="dxa" w:w="80"/>
              <w:right w:type="dxa" w:w="110"/>
            </w:tcMar>
          </w:tcPr>
          <w:p>
            <w:pPr>
              <w:spacing w:after="0" w:line="252"/>
            </w:pPr>
            <w:r>
              <w:rPr>
                <w:b w:val="false"/>
                <w:bCs w:val="false"/>
                <w:color w:val="1A1A1A"/>
                <w:sz w:val="18"/>
                <w:szCs w:val="18"/>
              </w:rPr>
              <w:t xml:space="preserve">10%</w:t>
            </w:r>
          </w:p>
        </w:tc>
        <w:tc>
          <w:tcPr>
            <w:tcW w:type="dxa" w:w="2000"/>
            <w:tcMar>
              <w:top w:type="dxa" w:w="80"/>
              <w:left w:type="dxa" w:w="110"/>
              <w:bottom w:type="dxa" w:w="80"/>
              <w:right w:type="dxa" w:w="110"/>
            </w:tcMar>
          </w:tcPr>
          <w:p>
            <w:pPr>
              <w:spacing w:after="0" w:line="252"/>
            </w:pPr>
            <w:r>
              <w:rPr>
                <w:b w:val="false"/>
                <w:bCs w:val="false"/>
                <w:color w:val="1A1A1A"/>
                <w:sz w:val="18"/>
                <w:szCs w:val="18"/>
              </w:rPr>
              <w:t xml:space="preserve">$22.000.000</w:t>
            </w:r>
          </w:p>
        </w:tc>
        <w:tc>
          <w:tcPr>
            <w:tcW w:type="dxa" w:w="3926"/>
            <w:tcMar>
              <w:top w:type="dxa" w:w="80"/>
              <w:left w:type="dxa" w:w="110"/>
              <w:bottom w:type="dxa" w:w="80"/>
              <w:right w:type="dxa" w:w="110"/>
            </w:tcMar>
          </w:tcPr>
          <w:p>
            <w:pPr>
              <w:spacing w:after="0" w:line="252"/>
            </w:pPr>
            <w:r>
              <w:rPr>
                <w:b w:val="false"/>
                <w:bCs w:val="false"/>
                <w:color w:val="1A1A1A"/>
                <w:sz w:val="18"/>
                <w:szCs w:val="18"/>
              </w:rPr>
              <w:t xml:space="preserve">Exigida por el desafío. Absorbe lo que revele la Fase 1.</w:t>
            </w:r>
          </w:p>
        </w:tc>
      </w:tr>
      <w:tr>
        <w:trPr>
          <w:tblHeader w:val="false"/>
        </w:trPr>
        <w:tc>
          <w:tcPr>
            <w:tcW w:type="dxa" w:w="2100"/>
            <w:shd w:fill="E6E0D6" w:color="auto" w:val="clear"/>
            <w:tcMar>
              <w:top w:type="dxa" w:w="80"/>
              <w:left w:type="dxa" w:w="110"/>
              <w:bottom w:type="dxa" w:w="80"/>
              <w:right w:type="dxa" w:w="110"/>
            </w:tcMar>
          </w:tcPr>
          <w:p>
            <w:pPr>
              <w:spacing w:after="0" w:line="252"/>
            </w:pPr>
            <w:r>
              <w:rPr>
                <w:b/>
                <w:bCs/>
                <w:color w:val="1A1A1A"/>
                <w:sz w:val="18"/>
                <w:szCs w:val="18"/>
              </w:rPr>
              <w:t xml:space="preserve">Total</w:t>
            </w:r>
          </w:p>
        </w:tc>
        <w:tc>
          <w:tcPr>
            <w:tcW w:type="dxa" w:w="1000"/>
            <w:shd w:fill="E6E0D6" w:color="auto" w:val="clear"/>
            <w:tcMar>
              <w:top w:type="dxa" w:w="80"/>
              <w:left w:type="dxa" w:w="110"/>
              <w:bottom w:type="dxa" w:w="80"/>
              <w:right w:type="dxa" w:w="110"/>
            </w:tcMar>
          </w:tcPr>
          <w:p>
            <w:pPr>
              <w:spacing w:after="0" w:line="252"/>
            </w:pPr>
            <w:r>
              <w:rPr>
                <w:b/>
                <w:bCs/>
                <w:color w:val="1A1A1A"/>
                <w:sz w:val="18"/>
                <w:szCs w:val="18"/>
              </w:rPr>
              <w:t xml:space="preserve">100%</w:t>
            </w:r>
          </w:p>
        </w:tc>
        <w:tc>
          <w:tcPr>
            <w:tcW w:type="dxa" w:w="2000"/>
            <w:shd w:fill="E6E0D6" w:color="auto" w:val="clear"/>
            <w:tcMar>
              <w:top w:type="dxa" w:w="80"/>
              <w:left w:type="dxa" w:w="110"/>
              <w:bottom w:type="dxa" w:w="80"/>
              <w:right w:type="dxa" w:w="110"/>
            </w:tcMar>
          </w:tcPr>
          <w:p>
            <w:pPr>
              <w:spacing w:after="0" w:line="252"/>
            </w:pPr>
            <w:r>
              <w:rPr>
                <w:b/>
                <w:bCs/>
                <w:color w:val="1A1A1A"/>
                <w:sz w:val="18"/>
                <w:szCs w:val="18"/>
              </w:rPr>
              <w:t xml:space="preserve">$220.000.000</w:t>
            </w:r>
          </w:p>
        </w:tc>
        <w:tc>
          <w:tcPr>
            <w:tcW w:type="dxa" w:w="3926"/>
            <w:shd w:fill="E6E0D6" w:color="auto" w:val="clear"/>
            <w:tcMar>
              <w:top w:type="dxa" w:w="80"/>
              <w:left w:type="dxa" w:w="110"/>
              <w:bottom w:type="dxa" w:w="80"/>
              <w:right w:type="dxa" w:w="110"/>
            </w:tcMar>
          </w:tcPr>
          <w:p>
            <w:pPr>
              <w:spacing w:after="0" w:line="252"/>
            </w:pPr>
            <w:r>
              <w:rPr>
                <w:b/>
                <w:bCs/>
                <w:color w:val="1A1A1A"/>
                <w:sz w:val="18"/>
                <w:szCs w:val="18"/>
              </w:rPr>
              <w:t xml:space="preserve">Sin IVA, doce meses</w:t>
            </w:r>
          </w:p>
        </w:tc>
      </w:tr>
    </w:tbl>
    <w:p>
      <w:pPr>
        <w:pStyle w:val="Heading2"/>
        <w:spacing w:after="120" w:before="280"/>
      </w:pPr>
      <w:r>
        <w:t xml:space="preserve">9.5 La decisión que el diagnóstico dejó abierta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tblHeader/>
        </w:trPr>
        <w:tc>
          <w:tcPr>
            <w:tcW w:type="dxa" w:w="2600"/>
            <w:shd w:fill="2B2B2B" w:color="auto" w:val="clear"/>
            <w:tcMar>
              <w:top w:type="dxa" w:w="80"/>
              <w:left w:type="dxa" w:w="110"/>
              <w:bottom w:type="dxa" w:w="80"/>
              <w:right w:type="dxa" w:w="110"/>
            </w:tcMar>
          </w:tcPr>
          <w:p>
            <w:pPr>
              <w:spacing w:after="0" w:line="252"/>
            </w:pPr>
            <w:r>
              <w:rPr>
                <w:b/>
                <w:bCs/>
                <w:color w:val="FFFFFF"/>
                <w:sz w:val="16"/>
                <w:szCs w:val="16"/>
              </w:rPr>
              <w:t xml:space="preserve">Canasta</w:t>
            </w:r>
          </w:p>
        </w:tc>
        <w:tc>
          <w:tcPr>
            <w:tcW w:type="dxa" w:w="3200"/>
            <w:shd w:fill="2B2B2B" w:color="auto" w:val="clear"/>
            <w:tcMar>
              <w:top w:type="dxa" w:w="80"/>
              <w:left w:type="dxa" w:w="110"/>
              <w:bottom w:type="dxa" w:w="80"/>
              <w:right w:type="dxa" w:w="110"/>
            </w:tcMar>
          </w:tcPr>
          <w:p>
            <w:pPr>
              <w:spacing w:after="0" w:line="252"/>
            </w:pPr>
            <w:r>
              <w:rPr>
                <w:b/>
                <w:bCs/>
                <w:color w:val="FFFFFF"/>
                <w:sz w:val="16"/>
                <w:szCs w:val="16"/>
              </w:rPr>
              <w:t xml:space="preserve">Qué contiene</w:t>
            </w:r>
          </w:p>
        </w:tc>
        <w:tc>
          <w:tcPr>
            <w:tcW w:type="dxa" w:w="3226"/>
            <w:shd w:fill="2B2B2B" w:color="auto" w:val="clear"/>
            <w:tcMar>
              <w:top w:type="dxa" w:w="80"/>
              <w:left w:type="dxa" w:w="110"/>
              <w:bottom w:type="dxa" w:w="80"/>
              <w:right w:type="dxa" w:w="110"/>
            </w:tcMar>
          </w:tcPr>
          <w:p>
            <w:pPr>
              <w:spacing w:after="0" w:line="252"/>
            </w:pPr>
            <w:r>
              <w:rPr>
                <w:b/>
                <w:bCs/>
                <w:color w:val="FFFFFF"/>
                <w:sz w:val="16"/>
                <w:szCs w:val="16"/>
              </w:rPr>
              <w:t xml:space="preserve">Qué consume</w:t>
            </w:r>
          </w:p>
        </w:tc>
      </w:tr>
      <w:tr>
        <w:trPr>
          <w:tblHeader w:val="false"/>
        </w:trPr>
        <w:tc>
          <w:tcPr>
            <w:tcW w:type="dxa" w:w="2600"/>
            <w:tcMar>
              <w:top w:type="dxa" w:w="80"/>
              <w:left w:type="dxa" w:w="110"/>
              <w:bottom w:type="dxa" w:w="80"/>
              <w:right w:type="dxa" w:w="110"/>
            </w:tcMar>
          </w:tcPr>
          <w:p>
            <w:pPr>
              <w:spacing w:after="0" w:line="252"/>
            </w:pPr>
            <w:r>
              <w:rPr>
                <w:b/>
                <w:bCs/>
                <w:color w:val="1A1A1A"/>
                <w:sz w:val="18"/>
                <w:szCs w:val="18"/>
              </w:rPr>
              <w:t xml:space="preserve">Piloto con medición</w:t>
            </w:r>
          </w:p>
        </w:tc>
        <w:tc>
          <w:tcPr>
            <w:tcW w:type="dxa" w:w="3200"/>
            <w:tcMar>
              <w:top w:type="dxa" w:w="80"/>
              <w:left w:type="dxa" w:w="110"/>
              <w:bottom w:type="dxa" w:w="80"/>
              <w:right w:type="dxa" w:w="110"/>
            </w:tcMar>
          </w:tcPr>
          <w:p>
            <w:pPr>
              <w:spacing w:after="0" w:line="252"/>
            </w:pPr>
            <w:r>
              <w:rPr>
                <w:b w:val="false"/>
                <w:bCs w:val="false"/>
                <w:color w:val="1A1A1A"/>
                <w:sz w:val="18"/>
                <w:szCs w:val="18"/>
              </w:rPr>
              <w:t xml:space="preserve">Portal Horeca, telemetría OCS, integración en conveniencia y panaderías</w:t>
            </w:r>
          </w:p>
        </w:tc>
        <w:tc>
          <w:tcPr>
            <w:tcW w:type="dxa" w:w="3226"/>
            <w:tcMar>
              <w:top w:type="dxa" w:w="80"/>
              <w:left w:type="dxa" w:w="110"/>
              <w:bottom w:type="dxa" w:w="80"/>
              <w:right w:type="dxa" w:w="110"/>
            </w:tcMar>
          </w:tcPr>
          <w:p>
            <w:pPr>
              <w:spacing w:after="0" w:line="252"/>
            </w:pPr>
            <w:r>
              <w:rPr>
                <w:b w:val="false"/>
                <w:bCs w:val="false"/>
                <w:color w:val="1A1A1A"/>
                <w:sz w:val="18"/>
                <w:szCs w:val="18"/>
              </w:rPr>
              <w:t xml:space="preserve">Los 36 puntos autorizados y el grueso del presupuesto</w:t>
            </w:r>
          </w:p>
        </w:tc>
      </w:tr>
      <w:tr>
        <w:trPr>
          <w:tblHeader w:val="false"/>
        </w:trPr>
        <w:tc>
          <w:tcPr>
            <w:tcW w:type="dxa" w:w="2600"/>
            <w:shd w:fill="F2EFE9" w:color="auto" w:val="clear"/>
            <w:tcMar>
              <w:top w:type="dxa" w:w="80"/>
              <w:left w:type="dxa" w:w="110"/>
              <w:bottom w:type="dxa" w:w="80"/>
              <w:right w:type="dxa" w:w="110"/>
            </w:tcMar>
          </w:tcPr>
          <w:p>
            <w:pPr>
              <w:spacing w:after="0" w:line="252"/>
            </w:pPr>
            <w:r>
              <w:rPr>
                <w:b/>
                <w:bCs/>
                <w:color w:val="1A1A1A"/>
                <w:sz w:val="18"/>
                <w:szCs w:val="18"/>
              </w:rPr>
              <w:t xml:space="preserve">Capacidad de base</w:t>
            </w:r>
          </w:p>
        </w:tc>
        <w:tc>
          <w:tcPr>
            <w:tcW w:type="dxa" w:w="32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Maestro de puntos, homologación de partners, cumplimiento de la Ley 21.719</w:t>
            </w:r>
          </w:p>
        </w:tc>
        <w:tc>
          <w:tcPr>
            <w:tcW w:type="dxa" w:w="32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Tiempo del equipo interno; presupuesto marginal</w:t>
            </w:r>
          </w:p>
        </w:tc>
      </w:tr>
      <w:tr>
        <w:trPr>
          <w:tblHeader w:val="false"/>
        </w:trPr>
        <w:tc>
          <w:tcPr>
            <w:tcW w:type="dxa" w:w="2600"/>
            <w:tcMar>
              <w:top w:type="dxa" w:w="80"/>
              <w:left w:type="dxa" w:w="110"/>
              <w:bottom w:type="dxa" w:w="80"/>
              <w:right w:type="dxa" w:w="110"/>
            </w:tcMar>
          </w:tcPr>
          <w:p>
            <w:pPr>
              <w:spacing w:after="0" w:line="252"/>
            </w:pPr>
            <w:r>
              <w:rPr>
                <w:b/>
                <w:bCs/>
                <w:color w:val="1A1A1A"/>
                <w:sz w:val="18"/>
                <w:szCs w:val="18"/>
              </w:rPr>
              <w:t xml:space="preserve">Diseño listo para ejecutar</w:t>
            </w:r>
          </w:p>
        </w:tc>
        <w:tc>
          <w:tcPr>
            <w:tcW w:type="dxa" w:w="3200"/>
            <w:tcMar>
              <w:top w:type="dxa" w:w="80"/>
              <w:left w:type="dxa" w:w="110"/>
              <w:bottom w:type="dxa" w:w="80"/>
              <w:right w:type="dxa" w:w="110"/>
            </w:tcMar>
          </w:tcPr>
          <w:p>
            <w:pPr>
              <w:spacing w:after="0" w:line="252"/>
            </w:pPr>
            <w:r>
              <w:rPr>
                <w:b w:val="false"/>
                <w:bCs w:val="false"/>
                <w:color w:val="1A1A1A"/>
                <w:sz w:val="18"/>
                <w:szCs w:val="18"/>
              </w:rPr>
              <w:t xml:space="preserve">Captación e Inbound B2B, medición unificada de experiencia, venta por punto de la base instalada</w:t>
            </w:r>
          </w:p>
        </w:tc>
        <w:tc>
          <w:tcPr>
            <w:tcW w:type="dxa" w:w="3226"/>
            <w:tcMar>
              <w:top w:type="dxa" w:w="80"/>
              <w:left w:type="dxa" w:w="110"/>
              <w:bottom w:type="dxa" w:w="80"/>
              <w:right w:type="dxa" w:w="110"/>
            </w:tcMar>
          </w:tcPr>
          <w:p>
            <w:pPr>
              <w:spacing w:after="0" w:line="252"/>
            </w:pPr>
            <w:r>
              <w:rPr>
                <w:b w:val="false"/>
                <w:bCs w:val="false"/>
                <w:color w:val="1A1A1A"/>
                <w:sz w:val="18"/>
                <w:szCs w:val="18"/>
              </w:rPr>
              <w:t xml:space="preserve">Nada durante este año. Queda documentado y presupuestado por separado</w:t>
            </w:r>
          </w:p>
        </w:tc>
      </w:tr>
    </w:tbl>
    <w:p>
      <w:r>
        <w:br w:type="page"/>
      </w:r>
    </w:p>
    <w:p>
      <w:pPr>
        <w:pStyle w:val="Heading1"/>
        <w:spacing w:after="160" w:before="360"/>
      </w:pPr>
      <w:r>
        <w:t xml:space="preserve">10. Supuestos, riesgos y vacíos</w:t>
      </w:r>
    </w:p>
    <w:p>
      <w:pPr>
        <w:spacing w:after="120" w:before="0" w:line="276"/>
      </w:pPr>
      <w:r>
        <w:rPr>
          <w:color w:val="1A1A1A"/>
          <w:sz w:val="20"/>
          <w:szCs w:val="20"/>
        </w:rPr>
        <w:t xml:space="preserve">Esta sección debe conservarse íntegra aunque el informe se recorte. Es la que sostiene la credibilidad de todo lo anterior.</w:t>
      </w:r>
    </w:p>
    <w:p>
      <w:pPr>
        <w:pStyle w:val="Heading2"/>
        <w:spacing w:after="120" w:before="280"/>
      </w:pPr>
      <w:r>
        <w:t xml:space="preserve">10.1 Supuestos propios del equipo</w:t>
      </w:r>
    </w:p>
    <w:p>
      <w:pPr>
        <w:pStyle w:val="ListParagraph"/>
        <w:numPr>
          <w:ilvl w:val="0"/>
          <w:numId w:val="2"/>
        </w:numPr>
        <w:spacing w:after="60" w:line="264"/>
      </w:pPr>
      <w:r>
        <w:rPr>
          <w:b/>
          <w:bCs/>
          <w:color w:val="1A1A1A"/>
          <w:sz w:val="20"/>
          <w:szCs w:val="20"/>
        </w:rPr>
        <w:t xml:space="preserve">Frecuencia de reposición. </w:t>
      </w:r>
      <w:r>
        <w:rPr>
          <w:color w:val="1A1A1A"/>
          <w:sz w:val="20"/>
          <w:szCs w:val="20"/>
        </w:rPr>
        <w:t xml:space="preserve">Se asume una reposición mensual por punto activo para dimensionar la carga operativa y las oportunidades de fuga. El caso no entrega frecuencia de pedido. Si la frecuencia real fuera quincenal, la carga manual y las oportunidades de fuga se duplican: el argumento se refuerza, no se debilita.</w:t>
      </w:r>
    </w:p>
    <w:p>
      <w:pPr>
        <w:pStyle w:val="ListParagraph"/>
        <w:numPr>
          <w:ilvl w:val="0"/>
          <w:numId w:val="2"/>
        </w:numPr>
        <w:spacing w:after="60" w:line="264"/>
      </w:pPr>
      <w:r>
        <w:rPr>
          <w:b/>
          <w:bCs/>
          <w:color w:val="1A1A1A"/>
          <w:sz w:val="20"/>
          <w:szCs w:val="20"/>
        </w:rPr>
        <w:t xml:space="preserve">Base de cálculo de la analizabilidad del CRM. </w:t>
      </w:r>
      <w:r>
        <w:rPr>
          <w:color w:val="1A1A1A"/>
          <w:sz w:val="20"/>
          <w:szCs w:val="20"/>
        </w:rPr>
        <w:t xml:space="preserve">Se asume que el 40% de completitud se mide sobre el 65% de cuentas registradas, lo que arroja 26%. Si se midiera sobre el universo total, la cifra sería peor.</w:t>
      </w:r>
    </w:p>
    <w:p>
      <w:pPr>
        <w:pStyle w:val="ListParagraph"/>
        <w:numPr>
          <w:ilvl w:val="0"/>
          <w:numId w:val="2"/>
        </w:numPr>
        <w:spacing w:after="60" w:line="264"/>
      </w:pPr>
      <w:r>
        <w:rPr>
          <w:b/>
          <w:bCs/>
          <w:color w:val="1A1A1A"/>
          <w:sz w:val="20"/>
          <w:szCs w:val="20"/>
        </w:rPr>
        <w:t xml:space="preserve">Valor del punto que se pierde. </w:t>
      </w:r>
      <w:r>
        <w:rPr>
          <w:color w:val="1A1A1A"/>
          <w:sz w:val="20"/>
          <w:szCs w:val="20"/>
        </w:rPr>
        <w:t xml:space="preserve">Se asume que el punto que no renueva factura como el punto promedio de su canal, dado que no existe venta desagregada por punto.</w:t>
      </w:r>
    </w:p>
    <w:p>
      <w:pPr>
        <w:pStyle w:val="ListParagraph"/>
        <w:numPr>
          <w:ilvl w:val="0"/>
          <w:numId w:val="2"/>
        </w:numPr>
        <w:spacing w:after="60" w:line="264"/>
      </w:pPr>
      <w:r>
        <w:rPr>
          <w:b/>
          <w:bCs/>
          <w:color w:val="1A1A1A"/>
          <w:sz w:val="20"/>
          <w:szCs w:val="20"/>
        </w:rPr>
        <w:t xml:space="preserve">Lectura de la meta de retención. </w:t>
      </w:r>
      <w:r>
        <w:rPr>
          <w:color w:val="1A1A1A"/>
          <w:sz w:val="20"/>
          <w:szCs w:val="20"/>
        </w:rPr>
        <w:t xml:space="preserve">Se adopta que el 86% corresponde a Horeca y no al agregado B2B, por ser la única lectura aritméticamente consistente. Debe confirmarse con el docente.</w:t>
      </w:r>
    </w:p>
    <w:p>
      <w:pPr>
        <w:pStyle w:val="ListParagraph"/>
        <w:numPr>
          <w:ilvl w:val="0"/>
          <w:numId w:val="2"/>
        </w:numPr>
        <w:spacing w:after="60" w:line="264"/>
      </w:pPr>
      <w:r>
        <w:rPr>
          <w:b/>
          <w:bCs/>
          <w:color w:val="1A1A1A"/>
          <w:sz w:val="20"/>
          <w:szCs w:val="20"/>
        </w:rPr>
        <w:t xml:space="preserve">Ponderación del NPS base. </w:t>
      </w:r>
      <w:r>
        <w:rPr>
          <w:color w:val="1A1A1A"/>
          <w:sz w:val="20"/>
          <w:szCs w:val="20"/>
        </w:rPr>
        <w:t xml:space="preserve">La ponderación por participación de ventas es la única de las cuatro posibles que reproduce el 42 declarado: promedio simple da 39,2, por puntos 40,5, por máquinas 40,4 y por ventas 42,1. El documento no explicita el criterio, de modo que es una reconstrucción propia y debe confirmarse antes de apoyarse en ella.</w:t>
      </w:r>
    </w:p>
    <w:p>
      <w:pPr>
        <w:pStyle w:val="ListParagraph"/>
        <w:numPr>
          <w:ilvl w:val="0"/>
          <w:numId w:val="2"/>
        </w:numPr>
        <w:spacing w:after="60" w:line="264"/>
      </w:pPr>
      <w:r>
        <w:rPr>
          <w:b/>
          <w:bCs/>
          <w:color w:val="1A1A1A"/>
          <w:sz w:val="20"/>
          <w:szCs w:val="20"/>
        </w:rPr>
        <w:t xml:space="preserve">Rotación de personal en puntos de terceros. </w:t>
      </w:r>
      <w:r>
        <w:rPr>
          <w:color w:val="1A1A1A"/>
          <w:sz w:val="20"/>
          <w:szCs w:val="20"/>
        </w:rPr>
        <w:t xml:space="preserve">Se asume alta como explicación de la brecha de capacitación. Es hipótesis, no hecho.</w:t>
      </w:r>
    </w:p>
    <w:p>
      <w:pPr>
        <w:pStyle w:val="Heading2"/>
        <w:spacing w:after="120" w:before="280"/>
      </w:pPr>
      <w:r>
        <w:t xml:space="preserve">10.2 Riesgos que condicionan la propuesta</w:t>
      </w:r>
    </w:p>
    <w:p>
      <w:pPr>
        <w:pStyle w:val="ListParagraph"/>
        <w:numPr>
          <w:ilvl w:val="0"/>
          <w:numId w:val="2"/>
        </w:numPr>
        <w:spacing w:after="60" w:line="264"/>
      </w:pPr>
      <w:r>
        <w:rPr>
          <w:b/>
          <w:bCs/>
          <w:color w:val="1A1A1A"/>
          <w:sz w:val="20"/>
          <w:szCs w:val="20"/>
        </w:rPr>
        <w:t xml:space="preserve">Identificación del producto en el sistema del punto. </w:t>
      </w:r>
      <w:r>
        <w:rPr>
          <w:color w:val="1A1A1A"/>
          <w:sz w:val="20"/>
          <w:szCs w:val="20"/>
        </w:rPr>
        <w:t xml:space="preserve">Si la panadería registra la venta como “café chico” sin distinguir marca, la integración no permite saber que es Marley. Donde hay exclusividad se infiere; donde conviven marcas hay que codificar el artículo.</w:t>
      </w:r>
    </w:p>
    <w:p>
      <w:pPr>
        <w:pStyle w:val="ListParagraph"/>
        <w:numPr>
          <w:ilvl w:val="0"/>
          <w:numId w:val="2"/>
        </w:numPr>
        <w:spacing w:after="60" w:line="264"/>
      </w:pPr>
      <w:r>
        <w:rPr>
          <w:b/>
          <w:bCs/>
          <w:color w:val="1A1A1A"/>
          <w:sz w:val="20"/>
          <w:szCs w:val="20"/>
        </w:rPr>
        <w:t xml:space="preserve">Concentración en un proveedor de sistema de caja. </w:t>
      </w:r>
      <w:r>
        <w:rPr>
          <w:color w:val="1A1A1A"/>
          <w:sz w:val="20"/>
          <w:szCs w:val="20"/>
        </w:rPr>
        <w:t xml:space="preserve">Depender de uno solo constituye un punto único de falla frente a un cambio de condiciones comerciales.</w:t>
      </w:r>
    </w:p>
    <w:p>
      <w:pPr>
        <w:pStyle w:val="ListParagraph"/>
        <w:numPr>
          <w:ilvl w:val="0"/>
          <w:numId w:val="2"/>
        </w:numPr>
        <w:spacing w:after="60" w:line="264"/>
      </w:pPr>
      <w:r>
        <w:rPr>
          <w:b/>
          <w:bCs/>
          <w:color w:val="1A1A1A"/>
          <w:sz w:val="20"/>
          <w:szCs w:val="20"/>
        </w:rPr>
        <w:t xml:space="preserve">Adopción del portal. </w:t>
      </w:r>
      <w:r>
        <w:rPr>
          <w:color w:val="1A1A1A"/>
          <w:sz w:val="20"/>
          <w:szCs w:val="20"/>
        </w:rPr>
        <w:t xml:space="preserve">Si el cliente de Horeca no lo usa, la señal de ese canal no existe. Por eso la vista del cliente en el tablero no es un accesorio sino una condición.</w:t>
      </w:r>
    </w:p>
    <w:p>
      <w:pPr>
        <w:pStyle w:val="ListParagraph"/>
        <w:numPr>
          <w:ilvl w:val="0"/>
          <w:numId w:val="2"/>
        </w:numPr>
        <w:spacing w:after="60" w:line="264"/>
      </w:pPr>
      <w:r>
        <w:rPr>
          <w:b/>
          <w:bCs/>
          <w:color w:val="1A1A1A"/>
          <w:sz w:val="20"/>
          <w:szCs w:val="20"/>
        </w:rPr>
        <w:t xml:space="preserve">Autorización de terceros. </w:t>
      </w:r>
      <w:r>
        <w:rPr>
          <w:color w:val="1A1A1A"/>
          <w:sz w:val="20"/>
          <w:szCs w:val="20"/>
        </w:rPr>
        <w:t xml:space="preserve">Todo cambio en un punto operado por un partner requiere su autorización. Ninguna iniciativa sobre esos 840 puntos puede planificarse como ejecución unilateral.</w:t>
      </w:r>
    </w:p>
    <w:p>
      <w:pPr>
        <w:pStyle w:val="ListParagraph"/>
        <w:numPr>
          <w:ilvl w:val="0"/>
          <w:numId w:val="2"/>
        </w:numPr>
        <w:spacing w:after="60" w:line="264"/>
      </w:pPr>
      <w:r>
        <w:rPr>
          <w:b/>
          <w:bCs/>
          <w:color w:val="1A1A1A"/>
          <w:sz w:val="20"/>
          <w:szCs w:val="20"/>
        </w:rPr>
        <w:t xml:space="preserve">Ley 21.719, a favor. </w:t>
      </w:r>
      <w:r>
        <w:rPr>
          <w:color w:val="1A1A1A"/>
          <w:sz w:val="20"/>
          <w:szCs w:val="20"/>
        </w:rPr>
        <w:t xml:space="preserve">La venta por punto es dato comercial del negocio y no dato personal de un consumidor. Frente a la normativa que entra en vigencia el 1 de diciembre de 2026, esta capa es considerablemente más liviana que cualquier mecanismo que capture al consumidor final. Marley además construye desde cero y puede nacer conforme, mientras un competidor con sistemas heredados debe remediar.</w:t>
      </w:r>
    </w:p>
    <w:p>
      <w:pPr>
        <w:pStyle w:val="Heading2"/>
        <w:spacing w:after="120" w:before="280"/>
      </w:pPr>
      <w:r>
        <w:t xml:space="preserve">10.3 Vacíos que persisten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2B2B2B" w:color="auto" w:val="clear"/>
            <w:tcMar>
              <w:top w:type="dxa" w:w="80"/>
              <w:left w:type="dxa" w:w="110"/>
              <w:bottom w:type="dxa" w:w="80"/>
              <w:right w:type="dxa" w:w="110"/>
            </w:tcMar>
          </w:tcPr>
          <w:p>
            <w:pPr>
              <w:spacing w:after="0" w:line="252"/>
            </w:pPr>
            <w:r>
              <w:rPr>
                <w:b/>
                <w:bCs/>
                <w:color w:val="FFFFFF"/>
                <w:sz w:val="16"/>
                <w:szCs w:val="16"/>
              </w:rPr>
              <w:t xml:space="preserve">Información faltante</w:t>
            </w:r>
          </w:p>
        </w:tc>
        <w:tc>
          <w:tcPr>
            <w:tcW w:type="dxa" w:w="5826"/>
            <w:shd w:fill="2B2B2B" w:color="auto" w:val="clear"/>
            <w:tcMar>
              <w:top w:type="dxa" w:w="80"/>
              <w:left w:type="dxa" w:w="110"/>
              <w:bottom w:type="dxa" w:w="80"/>
              <w:right w:type="dxa" w:w="110"/>
            </w:tcMar>
          </w:tcPr>
          <w:p>
            <w:pPr>
              <w:spacing w:after="0" w:line="252"/>
            </w:pPr>
            <w:r>
              <w:rPr>
                <w:b/>
                <w:bCs/>
                <w:color w:val="FFFFFF"/>
                <w:sz w:val="16"/>
                <w:szCs w:val="16"/>
              </w:rPr>
              <w:t xml:space="preserve">Por qué importa y cómo se cierra</w:t>
            </w:r>
          </w:p>
        </w:tc>
      </w:tr>
      <w:tr>
        <w:trPr>
          <w:tblHeader w:val="false"/>
        </w:trPr>
        <w:tc>
          <w:tcPr>
            <w:tcW w:type="dxa" w:w="3200"/>
            <w:tcMar>
              <w:top w:type="dxa" w:w="80"/>
              <w:left w:type="dxa" w:w="110"/>
              <w:bottom w:type="dxa" w:w="80"/>
              <w:right w:type="dxa" w:w="110"/>
            </w:tcMar>
          </w:tcPr>
          <w:p>
            <w:pPr>
              <w:spacing w:after="0" w:line="252"/>
            </w:pPr>
            <w:r>
              <w:rPr>
                <w:b/>
                <w:bCs/>
                <w:color w:val="1A1A1A"/>
                <w:sz w:val="18"/>
                <w:szCs w:val="18"/>
              </w:rPr>
              <w:t xml:space="preserve">Frecuencia real de reposición</w:t>
            </w:r>
          </w:p>
        </w:tc>
        <w:tc>
          <w:tcPr>
            <w:tcW w:type="dxa" w:w="5826"/>
            <w:tcMar>
              <w:top w:type="dxa" w:w="80"/>
              <w:left w:type="dxa" w:w="110"/>
              <w:bottom w:type="dxa" w:w="80"/>
              <w:right w:type="dxa" w:w="110"/>
            </w:tcMar>
          </w:tcPr>
          <w:p>
            <w:pPr>
              <w:spacing w:after="0" w:line="252"/>
            </w:pPr>
            <w:r>
              <w:rPr>
                <w:b w:val="false"/>
                <w:bCs w:val="false"/>
                <w:color w:val="1A1A1A"/>
                <w:sz w:val="18"/>
                <w:szCs w:val="18"/>
              </w:rPr>
              <w:t xml:space="preserve">Sostiene el modelo de fuga y el diseño muestral del piloto. Consultada a la empresa en el webinar.</w:t>
            </w:r>
          </w:p>
        </w:tc>
      </w:tr>
      <w:tr>
        <w:trPr>
          <w:tblHeader w:val="false"/>
        </w:trPr>
        <w:tc>
          <w:tcPr>
            <w:tcW w:type="dxa" w:w="3200"/>
            <w:shd w:fill="F2EFE9" w:color="auto" w:val="clear"/>
            <w:tcMar>
              <w:top w:type="dxa" w:w="80"/>
              <w:left w:type="dxa" w:w="110"/>
              <w:bottom w:type="dxa" w:w="80"/>
              <w:right w:type="dxa" w:w="110"/>
            </w:tcMar>
          </w:tcPr>
          <w:p>
            <w:pPr>
              <w:spacing w:after="0" w:line="252"/>
            </w:pPr>
            <w:r>
              <w:rPr>
                <w:b/>
                <w:bCs/>
                <w:color w:val="1A1A1A"/>
                <w:sz w:val="18"/>
                <w:szCs w:val="18"/>
              </w:rPr>
              <w:t xml:space="preserve">Costo de adquisición de un cliente B2B</w:t>
            </w:r>
          </w:p>
        </w:tc>
        <w:tc>
          <w:tcPr>
            <w:tcW w:type="dxa" w:w="58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Permitiría comparar el costo de retener con el de captar y cerrar el business case. Consultado en el webinar.</w:t>
            </w:r>
          </w:p>
        </w:tc>
      </w:tr>
      <w:tr>
        <w:trPr>
          <w:tblHeader w:val="false"/>
        </w:trPr>
        <w:tc>
          <w:tcPr>
            <w:tcW w:type="dxa" w:w="3200"/>
            <w:tcMar>
              <w:top w:type="dxa" w:w="80"/>
              <w:left w:type="dxa" w:w="110"/>
              <w:bottom w:type="dxa" w:w="80"/>
              <w:right w:type="dxa" w:w="110"/>
            </w:tcMar>
          </w:tcPr>
          <w:p>
            <w:pPr>
              <w:spacing w:after="0" w:line="252"/>
            </w:pPr>
            <w:r>
              <w:rPr>
                <w:b/>
                <w:bCs/>
                <w:color w:val="1A1A1A"/>
                <w:sz w:val="18"/>
                <w:szCs w:val="18"/>
              </w:rPr>
              <w:t xml:space="preserve">Retención en estaciones y panaderías</w:t>
            </w:r>
          </w:p>
        </w:tc>
        <w:tc>
          <w:tcPr>
            <w:tcW w:type="dxa" w:w="5826"/>
            <w:tcMar>
              <w:top w:type="dxa" w:w="80"/>
              <w:left w:type="dxa" w:w="110"/>
              <w:bottom w:type="dxa" w:w="80"/>
              <w:right w:type="dxa" w:w="110"/>
            </w:tcMar>
          </w:tcPr>
          <w:p>
            <w:pPr>
              <w:spacing w:after="0" w:line="252"/>
            </w:pPr>
            <w:r>
              <w:rPr>
                <w:b w:val="false"/>
                <w:bCs w:val="false"/>
                <w:color w:val="1A1A1A"/>
                <w:sz w:val="18"/>
                <w:szCs w:val="18"/>
              </w:rPr>
              <w:t xml:space="preserve">Determina si la fuga de 6,24% es piso o total. Consultada en el webinar.</w:t>
            </w:r>
          </w:p>
        </w:tc>
      </w:tr>
      <w:tr>
        <w:trPr>
          <w:tblHeader w:val="false"/>
        </w:trPr>
        <w:tc>
          <w:tcPr>
            <w:tcW w:type="dxa" w:w="3200"/>
            <w:shd w:fill="F2EFE9" w:color="auto" w:val="clear"/>
            <w:tcMar>
              <w:top w:type="dxa" w:w="80"/>
              <w:left w:type="dxa" w:w="110"/>
              <w:bottom w:type="dxa" w:w="80"/>
              <w:right w:type="dxa" w:w="110"/>
            </w:tcMar>
          </w:tcPr>
          <w:p>
            <w:pPr>
              <w:spacing w:after="0" w:line="252"/>
            </w:pPr>
            <w:r>
              <w:rPr>
                <w:b/>
                <w:bCs/>
                <w:color w:val="1A1A1A"/>
                <w:sz w:val="18"/>
                <w:szCs w:val="18"/>
              </w:rPr>
              <w:t xml:space="preserve">Registro del motivo de baja</w:t>
            </w:r>
          </w:p>
        </w:tc>
        <w:tc>
          <w:tcPr>
            <w:tcW w:type="dxa" w:w="58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Permite verificar la hipótesis central. Consultado en el webinar: si la empresa responde que no lo registra, la ceguera queda confirmada por la propia fuente.</w:t>
            </w:r>
          </w:p>
        </w:tc>
      </w:tr>
      <w:tr>
        <w:trPr>
          <w:tblHeader w:val="false"/>
        </w:trPr>
        <w:tc>
          <w:tcPr>
            <w:tcW w:type="dxa" w:w="3200"/>
            <w:tcMar>
              <w:top w:type="dxa" w:w="80"/>
              <w:left w:type="dxa" w:w="110"/>
              <w:bottom w:type="dxa" w:w="80"/>
              <w:right w:type="dxa" w:w="110"/>
            </w:tcMar>
          </w:tcPr>
          <w:p>
            <w:pPr>
              <w:spacing w:after="0" w:line="252"/>
            </w:pPr>
            <w:r>
              <w:rPr>
                <w:b/>
                <w:bCs/>
                <w:color w:val="1A1A1A"/>
                <w:sz w:val="18"/>
                <w:szCs w:val="18"/>
              </w:rPr>
              <w:t xml:space="preserve">Sistema de caja de cada punto</w:t>
            </w:r>
          </w:p>
        </w:tc>
        <w:tc>
          <w:tcPr>
            <w:tcW w:type="dxa" w:w="5826"/>
            <w:tcMar>
              <w:top w:type="dxa" w:w="80"/>
              <w:left w:type="dxa" w:w="110"/>
              <w:bottom w:type="dxa" w:w="80"/>
              <w:right w:type="dxa" w:w="110"/>
            </w:tcMar>
          </w:tcPr>
          <w:p>
            <w:pPr>
              <w:spacing w:after="0" w:line="252"/>
            </w:pPr>
            <w:r>
              <w:rPr>
                <w:b w:val="false"/>
                <w:bCs w:val="false"/>
                <w:color w:val="1A1A1A"/>
                <w:sz w:val="18"/>
                <w:szCs w:val="18"/>
              </w:rPr>
              <w:t xml:space="preserve">Determina la cobertura real de la integración. Se cierra agregando una pregunta a la pauta de levantamiento de campo, sin costo.</w:t>
            </w:r>
          </w:p>
        </w:tc>
      </w:tr>
      <w:tr>
        <w:trPr>
          <w:tblHeader w:val="false"/>
        </w:trPr>
        <w:tc>
          <w:tcPr>
            <w:tcW w:type="dxa" w:w="3200"/>
            <w:shd w:fill="F2EFE9" w:color="auto" w:val="clear"/>
            <w:tcMar>
              <w:top w:type="dxa" w:w="80"/>
              <w:left w:type="dxa" w:w="110"/>
              <w:bottom w:type="dxa" w:w="80"/>
              <w:right w:type="dxa" w:w="110"/>
            </w:tcMar>
          </w:tcPr>
          <w:p>
            <w:pPr>
              <w:spacing w:after="0" w:line="252"/>
            </w:pPr>
            <w:r>
              <w:rPr>
                <w:b/>
                <w:bCs/>
                <w:color w:val="1A1A1A"/>
                <w:sz w:val="18"/>
                <w:szCs w:val="18"/>
              </w:rPr>
              <w:t xml:space="preserve">Factibilidad técnica de telemetría</w:t>
            </w:r>
          </w:p>
        </w:tc>
        <w:tc>
          <w:tcPr>
            <w:tcW w:type="dxa" w:w="58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Determina si la capa de máquina es viable o debe descartarse. Registrada como pendiente en el diagnóstico previo.</w:t>
            </w:r>
          </w:p>
        </w:tc>
      </w:tr>
      <w:tr>
        <w:trPr>
          <w:tblHeader w:val="false"/>
        </w:trPr>
        <w:tc>
          <w:tcPr>
            <w:tcW w:type="dxa" w:w="3200"/>
            <w:tcMar>
              <w:top w:type="dxa" w:w="80"/>
              <w:left w:type="dxa" w:w="110"/>
              <w:bottom w:type="dxa" w:w="80"/>
              <w:right w:type="dxa" w:w="110"/>
            </w:tcMar>
          </w:tcPr>
          <w:p>
            <w:pPr>
              <w:spacing w:after="0" w:line="252"/>
            </w:pPr>
            <w:r>
              <w:rPr>
                <w:b/>
                <w:bCs/>
                <w:color w:val="1A1A1A"/>
                <w:sz w:val="18"/>
                <w:szCs w:val="18"/>
              </w:rPr>
              <w:t xml:space="preserve">Costo de la venta perdida por quiebre</w:t>
            </w:r>
          </w:p>
        </w:tc>
        <w:tc>
          <w:tcPr>
            <w:tcW w:type="dxa" w:w="5826"/>
            <w:tcMar>
              <w:top w:type="dxa" w:w="80"/>
              <w:left w:type="dxa" w:w="110"/>
              <w:bottom w:type="dxa" w:w="80"/>
              <w:right w:type="dxa" w:w="110"/>
            </w:tcMar>
          </w:tcPr>
          <w:p>
            <w:pPr>
              <w:spacing w:after="0" w:line="252"/>
            </w:pPr>
            <w:r>
              <w:rPr>
                <w:b w:val="false"/>
                <w:bCs w:val="false"/>
                <w:color w:val="1A1A1A"/>
                <w:sz w:val="18"/>
                <w:szCs w:val="18"/>
              </w:rPr>
              <w:t xml:space="preserve">Permitiría valorizar el impacto de la reposición predictiva.</w:t>
            </w:r>
          </w:p>
        </w:tc>
      </w:tr>
    </w:tbl>
    <w:p>
      <w:pPr>
        <w:pStyle w:val="Heading2"/>
        <w:spacing w:after="120" w:before="280"/>
      </w:pPr>
      <w:r>
        <w:t xml:space="preserve">10.4 Preguntas enviadas al webinar con la empresa</w:t>
      </w:r>
    </w:p>
    <w:p>
      <w:pPr>
        <w:spacing w:after="120" w:before="0" w:line="276"/>
      </w:pPr>
      <w:r>
        <w:rPr>
          <w:color w:val="1A1A1A"/>
          <w:sz w:val="20"/>
          <w:szCs w:val="20"/>
        </w:rPr>
        <w:t xml:space="preserve">Cinco preguntas fueron enviadas al formulario del Centro de Negocios para la sesión del 15 de septiembre de 2026. Las cinco atacan directamente la fuga, su causa y sus síntomas.</w:t>
      </w:r>
    </w:p>
    <w:p>
      <w:pPr>
        <w:pStyle w:val="ListParagraph"/>
        <w:numPr>
          <w:ilvl w:val="0"/>
          <w:numId w:val="2"/>
        </w:numPr>
        <w:spacing w:after="60" w:line="264"/>
      </w:pPr>
      <w:r>
        <w:rPr>
          <w:color w:val="1A1A1A"/>
          <w:sz w:val="20"/>
          <w:szCs w:val="20"/>
        </w:rPr>
        <w:t xml:space="preserve">¿Queda registrado en algún sistema el motivo de la baja cuando un cliente B2B deja de comprar o no renueva, o esa información se pierde al cerrarse la cuenta?</w:t>
      </w:r>
    </w:p>
    <w:p>
      <w:pPr>
        <w:pStyle w:val="ListParagraph"/>
        <w:numPr>
          <w:ilvl w:val="0"/>
          <w:numId w:val="2"/>
        </w:numPr>
        <w:spacing w:after="60" w:line="264"/>
      </w:pPr>
      <w:r>
        <w:rPr>
          <w:color w:val="1A1A1A"/>
          <w:sz w:val="20"/>
          <w:szCs w:val="20"/>
        </w:rPr>
        <w:t xml:space="preserve">¿Cómo llega hoy un pedido de reposición desde un cliente Horeca —llamada, mensajería, correo, visita del ejecutivo u otro—, cada cuánto suele repetirse, y funciona igual para un cliente grande que para uno pequeño?</w:t>
      </w:r>
    </w:p>
    <w:p>
      <w:pPr>
        <w:pStyle w:val="ListParagraph"/>
        <w:numPr>
          <w:ilvl w:val="0"/>
          <w:numId w:val="2"/>
        </w:numPr>
        <w:spacing w:after="60" w:line="264"/>
      </w:pPr>
      <w:r>
        <w:rPr>
          <w:color w:val="1A1A1A"/>
          <w:sz w:val="20"/>
          <w:szCs w:val="20"/>
        </w:rPr>
        <w:t xml:space="preserve">¿Se mide retención de clientes en los cuatro canales o solo en algunos?</w:t>
      </w:r>
    </w:p>
    <w:p>
      <w:pPr>
        <w:pStyle w:val="ListParagraph"/>
        <w:numPr>
          <w:ilvl w:val="0"/>
          <w:numId w:val="2"/>
        </w:numPr>
        <w:spacing w:after="60" w:line="264"/>
      </w:pPr>
      <w:r>
        <w:rPr>
          <w:color w:val="1A1A1A"/>
          <w:sz w:val="20"/>
          <w:szCs w:val="20"/>
        </w:rPr>
        <w:t xml:space="preserve">¿Existe una noción de cuánto cuesta incorporar un cliente B2B nuevo comparado con mantener uno existente?</w:t>
      </w:r>
    </w:p>
    <w:p>
      <w:pPr>
        <w:pStyle w:val="ListParagraph"/>
        <w:numPr>
          <w:ilvl w:val="0"/>
          <w:numId w:val="2"/>
        </w:numPr>
        <w:spacing w:after="60" w:line="264"/>
      </w:pPr>
      <w:r>
        <w:rPr>
          <w:color w:val="1A1A1A"/>
          <w:sz w:val="20"/>
          <w:szCs w:val="20"/>
        </w:rPr>
        <w:t xml:space="preserve">De los clientes B2B que se pierden en un año, ¿se van principalmente al vencer el contrato o abandonan durante la relación?</w:t>
      </w:r>
    </w:p>
    <w:p>
      <w:pPr>
        <w:spacing w:after="160" w:before="0" w:line="276"/>
      </w:pPr>
      <w:r>
        <w:rPr>
          <w:b/>
          <w:bCs/>
          <w:color w:val="A8482A"/>
          <w:sz w:val="17"/>
          <w:szCs w:val="17"/>
        </w:rPr>
        <w:t xml:space="preserve">Nota. </w:t>
      </w:r>
      <w:r>
        <w:rPr>
          <w:i/>
          <w:iCs/>
          <w:color w:val="595959"/>
          <w:sz w:val="17"/>
          <w:szCs w:val="17"/>
        </w:rPr>
        <w:t xml:space="preserve">Las respuestas pueden modificar las cifras de las secciones 4.2 y 4.4. Esos números deben tratarse como provisionales hasta el 15 de septiembre.</w:t>
      </w:r>
    </w:p>
    <w:p>
      <w:r>
        <w:br w:type="page"/>
      </w:r>
    </w:p>
    <w:p>
      <w:pPr>
        <w:pStyle w:val="Heading1"/>
        <w:spacing w:after="160" w:before="360"/>
      </w:pPr>
      <w:r>
        <w:t xml:space="preserve">11. Trazabilidad</w:t>
      </w:r>
    </w:p>
    <w:p>
      <w:pPr>
        <w:spacing w:after="120" w:before="0" w:line="276"/>
      </w:pPr>
      <w:r>
        <w:rPr>
          <w:color w:val="1A1A1A"/>
          <w:sz w:val="20"/>
          <w:szCs w:val="20"/>
        </w:rPr>
        <w:t xml:space="preserve">Correspondencia entre cada sección de este documento y la exigencia que responde.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026"/>
      </w:tblGrid>
      <w:tr>
        <w:trPr>
          <w:tblHeader/>
        </w:trPr>
        <w:tc>
          <w:tcPr>
            <w:tcW w:type="dxa" w:w="1600"/>
            <w:shd w:fill="2B2B2B" w:color="auto" w:val="clear"/>
            <w:tcMar>
              <w:top w:type="dxa" w:w="80"/>
              <w:left w:type="dxa" w:w="110"/>
              <w:bottom w:type="dxa" w:w="80"/>
              <w:right w:type="dxa" w:w="110"/>
            </w:tcMar>
          </w:tcPr>
          <w:p>
            <w:pPr>
              <w:spacing w:after="0" w:line="252"/>
            </w:pPr>
            <w:r>
              <w:rPr>
                <w:b/>
                <w:bCs/>
                <w:color w:val="FFFFFF"/>
                <w:sz w:val="16"/>
                <w:szCs w:val="16"/>
              </w:rPr>
              <w:t xml:space="preserve">Sección</w:t>
            </w:r>
          </w:p>
        </w:tc>
        <w:tc>
          <w:tcPr>
            <w:tcW w:type="dxa" w:w="3400"/>
            <w:shd w:fill="2B2B2B" w:color="auto" w:val="clear"/>
            <w:tcMar>
              <w:top w:type="dxa" w:w="80"/>
              <w:left w:type="dxa" w:w="110"/>
              <w:bottom w:type="dxa" w:w="80"/>
              <w:right w:type="dxa" w:w="110"/>
            </w:tcMar>
          </w:tcPr>
          <w:p>
            <w:pPr>
              <w:spacing w:after="0" w:line="252"/>
            </w:pPr>
            <w:r>
              <w:rPr>
                <w:b/>
                <w:bCs/>
                <w:color w:val="FFFFFF"/>
                <w:sz w:val="16"/>
                <w:szCs w:val="16"/>
              </w:rPr>
              <w:t xml:space="preserve">Exigencia que responde</w:t>
            </w:r>
          </w:p>
        </w:tc>
        <w:tc>
          <w:tcPr>
            <w:tcW w:type="dxa" w:w="4026"/>
            <w:shd w:fill="2B2B2B" w:color="auto" w:val="clear"/>
            <w:tcMar>
              <w:top w:type="dxa" w:w="80"/>
              <w:left w:type="dxa" w:w="110"/>
              <w:bottom w:type="dxa" w:w="80"/>
              <w:right w:type="dxa" w:w="110"/>
            </w:tcMar>
          </w:tcPr>
          <w:p>
            <w:pPr>
              <w:spacing w:after="0" w:line="252"/>
            </w:pPr>
            <w:r>
              <w:rPr>
                <w:b/>
                <w:bCs/>
                <w:color w:val="FFFFFF"/>
                <w:sz w:val="16"/>
                <w:szCs w:val="16"/>
              </w:rPr>
              <w:t xml:space="preserve">Origen de la exigencia</w:t>
            </w:r>
          </w:p>
        </w:tc>
      </w:tr>
      <w:tr>
        <w:trPr>
          <w:tblHeader w:val="false"/>
        </w:trPr>
        <w:tc>
          <w:tcPr>
            <w:tcW w:type="dxa" w:w="1600"/>
            <w:tcMar>
              <w:top w:type="dxa" w:w="80"/>
              <w:left w:type="dxa" w:w="110"/>
              <w:bottom w:type="dxa" w:w="80"/>
              <w:right w:type="dxa" w:w="110"/>
            </w:tcMar>
          </w:tcPr>
          <w:p>
            <w:pPr>
              <w:spacing w:after="0" w:line="252"/>
            </w:pPr>
            <w:r>
              <w:rPr>
                <w:b w:val="false"/>
                <w:bCs w:val="false"/>
                <w:color w:val="1A1A1A"/>
                <w:sz w:val="18"/>
                <w:szCs w:val="18"/>
              </w:rPr>
              <w:t xml:space="preserve">1</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Distinguir dato público, supuesto académico y hallazgo propio</w:t>
            </w:r>
          </w:p>
        </w:tc>
        <w:tc>
          <w:tcPr>
            <w:tcW w:type="dxa" w:w="4026"/>
            <w:tcMar>
              <w:top w:type="dxa" w:w="80"/>
              <w:left w:type="dxa" w:w="110"/>
              <w:bottom w:type="dxa" w:w="80"/>
              <w:right w:type="dxa" w:w="110"/>
            </w:tcMar>
          </w:tcPr>
          <w:p>
            <w:pPr>
              <w:spacing w:after="0" w:line="252"/>
            </w:pPr>
            <w:r>
              <w:rPr>
                <w:b w:val="false"/>
                <w:bCs w:val="false"/>
                <w:color w:val="1A1A1A"/>
                <w:sz w:val="18"/>
                <w:szCs w:val="18"/>
              </w:rPr>
              <w:t xml:space="preserve">Criterio 1 de la rúbrica; documento del desafío</w:t>
            </w:r>
          </w:p>
        </w:tc>
      </w:tr>
      <w:tr>
        <w:trPr>
          <w:tblHeader w:val="false"/>
        </w:trPr>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2</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Redactar la problemática respondiendo qué le pasa a la empresa, qué síntomas lo respaldan y cuál es la evidencia</w:t>
            </w:r>
          </w:p>
        </w:tc>
        <w:tc>
          <w:tcPr>
            <w:tcW w:type="dxa" w:w="4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Retroalimentación docente</w:t>
            </w:r>
          </w:p>
        </w:tc>
      </w:tr>
      <w:tr>
        <w:trPr>
          <w:tblHeader w:val="false"/>
        </w:trPr>
        <w:tc>
          <w:tcPr>
            <w:tcW w:type="dxa" w:w="1600"/>
            <w:tcMar>
              <w:top w:type="dxa" w:w="80"/>
              <w:left w:type="dxa" w:w="110"/>
              <w:bottom w:type="dxa" w:w="80"/>
              <w:right w:type="dxa" w:w="110"/>
            </w:tcMar>
          </w:tcPr>
          <w:p>
            <w:pPr>
              <w:spacing w:after="0" w:line="252"/>
            </w:pPr>
            <w:r>
              <w:rPr>
                <w:b w:val="false"/>
                <w:bCs w:val="false"/>
                <w:color w:val="1A1A1A"/>
                <w:sz w:val="18"/>
                <w:szCs w:val="18"/>
              </w:rPr>
              <w:t xml:space="preserve">2.2</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Agrupar los síntomas y asociarlos a una causalidad; identificar la causa que concentra el efecto</w:t>
            </w:r>
          </w:p>
        </w:tc>
        <w:tc>
          <w:tcPr>
            <w:tcW w:type="dxa" w:w="4026"/>
            <w:tcMar>
              <w:top w:type="dxa" w:w="80"/>
              <w:left w:type="dxa" w:w="110"/>
              <w:bottom w:type="dxa" w:w="80"/>
              <w:right w:type="dxa" w:w="110"/>
            </w:tcMar>
          </w:tcPr>
          <w:p>
            <w:pPr>
              <w:spacing w:after="0" w:line="252"/>
            </w:pPr>
            <w:r>
              <w:rPr>
                <w:b w:val="false"/>
                <w:bCs w:val="false"/>
                <w:color w:val="1A1A1A"/>
                <w:sz w:val="18"/>
                <w:szCs w:val="18"/>
              </w:rPr>
              <w:t xml:space="preserve">Retroalimentación docente (Pareto)</w:t>
            </w:r>
          </w:p>
        </w:tc>
      </w:tr>
      <w:tr>
        <w:trPr>
          <w:tblHeader w:val="false"/>
        </w:trPr>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3</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Ordenar los problemas por etapa: consideración, conversión y fidelización</w:t>
            </w:r>
          </w:p>
        </w:tc>
        <w:tc>
          <w:tcPr>
            <w:tcW w:type="dxa" w:w="4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Retroalimentación docente</w:t>
            </w:r>
          </w:p>
        </w:tc>
      </w:tr>
      <w:tr>
        <w:trPr>
          <w:tblHeader w:val="false"/>
        </w:trPr>
        <w:tc>
          <w:tcPr>
            <w:tcW w:type="dxa" w:w="1600"/>
            <w:tcMar>
              <w:top w:type="dxa" w:w="80"/>
              <w:left w:type="dxa" w:w="110"/>
              <w:bottom w:type="dxa" w:w="80"/>
              <w:right w:type="dxa" w:w="110"/>
            </w:tcMar>
          </w:tcPr>
          <w:p>
            <w:pPr>
              <w:spacing w:after="0" w:line="252"/>
            </w:pPr>
            <w:r>
              <w:rPr>
                <w:b w:val="false"/>
                <w:bCs w:val="false"/>
                <w:color w:val="1A1A1A"/>
                <w:sz w:val="18"/>
                <w:szCs w:val="18"/>
              </w:rPr>
              <w:t xml:space="preserve">4</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Declarar el punto de fuga, distinguirlo de la fricción y monetizarlo</w:t>
            </w:r>
          </w:p>
        </w:tc>
        <w:tc>
          <w:tcPr>
            <w:tcW w:type="dxa" w:w="4026"/>
            <w:tcMar>
              <w:top w:type="dxa" w:w="80"/>
              <w:left w:type="dxa" w:w="110"/>
              <w:bottom w:type="dxa" w:w="80"/>
              <w:right w:type="dxa" w:w="110"/>
            </w:tcMar>
          </w:tcPr>
          <w:p>
            <w:pPr>
              <w:spacing w:after="0" w:line="252"/>
            </w:pPr>
            <w:r>
              <w:rPr>
                <w:b w:val="false"/>
                <w:bCs w:val="false"/>
                <w:color w:val="1A1A1A"/>
                <w:sz w:val="18"/>
                <w:szCs w:val="18"/>
              </w:rPr>
              <w:t xml:space="preserve">Retroalimentación docente</w:t>
            </w:r>
          </w:p>
        </w:tc>
      </w:tr>
      <w:tr>
        <w:trPr>
          <w:tblHeader w:val="false"/>
        </w:trPr>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4.5</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Establecer dónde está el mayor problema y abordarlo desde ahí</w:t>
            </w:r>
          </w:p>
        </w:tc>
        <w:tc>
          <w:tcPr>
            <w:tcW w:type="dxa" w:w="4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Retroalimentación docente</w:t>
            </w:r>
          </w:p>
        </w:tc>
      </w:tr>
      <w:tr>
        <w:trPr>
          <w:tblHeader w:val="false"/>
        </w:trPr>
        <w:tc>
          <w:tcPr>
            <w:tcW w:type="dxa" w:w="1600"/>
            <w:tcMar>
              <w:top w:type="dxa" w:w="80"/>
              <w:left w:type="dxa" w:w="110"/>
              <w:bottom w:type="dxa" w:w="80"/>
              <w:right w:type="dxa" w:w="110"/>
            </w:tcMar>
          </w:tcPr>
          <w:p>
            <w:pPr>
              <w:spacing w:after="0" w:line="252"/>
            </w:pPr>
            <w:r>
              <w:rPr>
                <w:b w:val="false"/>
                <w:bCs w:val="false"/>
                <w:color w:val="1A1A1A"/>
                <w:sz w:val="18"/>
                <w:szCs w:val="18"/>
              </w:rPr>
              <w:t xml:space="preserve">5 a 7</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Diagnóstico omnicanal, marco de medición y gobierno de datos entre empresa, partners y terceros</w:t>
            </w:r>
          </w:p>
        </w:tc>
        <w:tc>
          <w:tcPr>
            <w:tcW w:type="dxa" w:w="4026"/>
            <w:tcMar>
              <w:top w:type="dxa" w:w="80"/>
              <w:left w:type="dxa" w:w="110"/>
              <w:bottom w:type="dxa" w:w="80"/>
              <w:right w:type="dxa" w:w="110"/>
            </w:tcMar>
          </w:tcPr>
          <w:p>
            <w:pPr>
              <w:spacing w:after="0" w:line="252"/>
            </w:pPr>
            <w:r>
              <w:rPr>
                <w:b w:val="false"/>
                <w:bCs w:val="false"/>
                <w:color w:val="1A1A1A"/>
                <w:sz w:val="18"/>
                <w:szCs w:val="18"/>
              </w:rPr>
              <w:t xml:space="preserve">Entregables 1, 7 y 8 del desafío</w:t>
            </w:r>
          </w:p>
        </w:tc>
      </w:tr>
      <w:tr>
        <w:trPr>
          <w:tblHeader w:val="false"/>
        </w:trPr>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8</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Tablero de indicadores a nivel de maqueta: qué se muestra, a quién y con qué frecuencia</w:t>
            </w:r>
          </w:p>
        </w:tc>
        <w:tc>
          <w:tcPr>
            <w:tcW w:type="dxa" w:w="4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Entregable 9 del desafío</w:t>
            </w:r>
          </w:p>
        </w:tc>
      </w:tr>
      <w:tr>
        <w:trPr>
          <w:tblHeader w:val="false"/>
        </w:trPr>
        <w:tc>
          <w:tcPr>
            <w:tcW w:type="dxa" w:w="1600"/>
            <w:tcMar>
              <w:top w:type="dxa" w:w="80"/>
              <w:left w:type="dxa" w:w="110"/>
              <w:bottom w:type="dxa" w:w="80"/>
              <w:right w:type="dxa" w:w="110"/>
            </w:tcMar>
          </w:tcPr>
          <w:p>
            <w:pPr>
              <w:spacing w:after="0" w:line="252"/>
            </w:pPr>
            <w:r>
              <w:rPr>
                <w:b w:val="false"/>
                <w:bCs w:val="false"/>
                <w:color w:val="1A1A1A"/>
                <w:sz w:val="18"/>
                <w:szCs w:val="18"/>
              </w:rPr>
              <w:t xml:space="preserve">9</w:t>
            </w:r>
          </w:p>
        </w:tc>
        <w:tc>
          <w:tcPr>
            <w:tcW w:type="dxa" w:w="3400"/>
            <w:tcMar>
              <w:top w:type="dxa" w:w="80"/>
              <w:left w:type="dxa" w:w="110"/>
              <w:bottom w:type="dxa" w:w="80"/>
              <w:right w:type="dxa" w:w="110"/>
            </w:tcMar>
          </w:tcPr>
          <w:p>
            <w:pPr>
              <w:spacing w:after="0" w:line="252"/>
            </w:pPr>
            <w:r>
              <w:rPr>
                <w:b w:val="false"/>
                <w:bCs w:val="false"/>
                <w:color w:val="1A1A1A"/>
                <w:sz w:val="18"/>
                <w:szCs w:val="18"/>
              </w:rPr>
              <w:t xml:space="preserve">Hoja de ruta con quick wins y criterios para escalar, corregir o detener; presupuesto por iniciativa con contingencia</w:t>
            </w:r>
          </w:p>
        </w:tc>
        <w:tc>
          <w:tcPr>
            <w:tcW w:type="dxa" w:w="4026"/>
            <w:tcMar>
              <w:top w:type="dxa" w:w="80"/>
              <w:left w:type="dxa" w:w="110"/>
              <w:bottom w:type="dxa" w:w="80"/>
              <w:right w:type="dxa" w:w="110"/>
            </w:tcMar>
          </w:tcPr>
          <w:p>
            <w:pPr>
              <w:spacing w:after="0" w:line="252"/>
            </w:pPr>
            <w:r>
              <w:rPr>
                <w:b w:val="false"/>
                <w:bCs w:val="false"/>
                <w:color w:val="1A1A1A"/>
                <w:sz w:val="18"/>
                <w:szCs w:val="18"/>
              </w:rPr>
              <w:t xml:space="preserve">Entregables 11 y 12; criterio 12 de la comisión</w:t>
            </w:r>
          </w:p>
        </w:tc>
      </w:tr>
      <w:tr>
        <w:trPr>
          <w:tblHeader w:val="false"/>
        </w:trPr>
        <w:tc>
          <w:tcPr>
            <w:tcW w:type="dxa" w:w="16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10</w:t>
            </w:r>
          </w:p>
        </w:tc>
        <w:tc>
          <w:tcPr>
            <w:tcW w:type="dxa" w:w="3400"/>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Riesgos y supuestos de ejecución y de medición, y cómo se mitigarían</w:t>
            </w:r>
          </w:p>
        </w:tc>
        <w:tc>
          <w:tcPr>
            <w:tcW w:type="dxa" w:w="4026"/>
            <w:shd w:fill="F2EFE9" w:color="auto" w:val="clear"/>
            <w:tcMar>
              <w:top w:type="dxa" w:w="80"/>
              <w:left w:type="dxa" w:w="110"/>
              <w:bottom w:type="dxa" w:w="80"/>
              <w:right w:type="dxa" w:w="110"/>
            </w:tcMar>
          </w:tcPr>
          <w:p>
            <w:pPr>
              <w:spacing w:after="0" w:line="252"/>
            </w:pPr>
            <w:r>
              <w:rPr>
                <w:b w:val="false"/>
                <w:bCs w:val="false"/>
                <w:color w:val="1A1A1A"/>
                <w:sz w:val="18"/>
                <w:szCs w:val="18"/>
              </w:rPr>
              <w:t xml:space="preserve">Entregable 12 del desafío</w:t>
            </w:r>
          </w:p>
        </w:tc>
      </w:tr>
    </w:tbl>
    <w:p>
      <w:pPr>
        <w:pBdr>
          <w:bottom w:val="single" w:color="CCCCCC" w:sz="6"/>
        </w:pBdr>
        <w:spacing w:after="160" w:before="60"/>
      </w:pPr>
      <w:r>
        <w:rPr>
          <w:sz w:val="2"/>
          <w:szCs w:val="2"/>
        </w:rPr>
        <w:t xml:space="preserve"/>
      </w:r>
    </w:p>
    <w:p>
      <w:pPr>
        <w:spacing w:after="200" w:before="0" w:line="276"/>
      </w:pPr>
      <w:r>
        <w:rPr>
          <w:b/>
          <w:bCs/>
          <w:color w:val="A8482A"/>
          <w:sz w:val="20"/>
          <w:szCs w:val="20"/>
        </w:rPr>
        <w:t xml:space="preserve">Pendiente que este documento no cubre. </w:t>
      </w:r>
      <w:r>
        <w:rPr>
          <w:color w:val="1A1A1A"/>
          <w:sz w:val="20"/>
          <w:szCs w:val="20"/>
        </w:rPr>
        <w:t xml:space="preserve">Las cuatro entrevistas en profundidad a decisores, una por canal, señaladas por el docente como el punto más atrasado del proyecto. Son fuente primaria y ninguna derivación de la sección 4 las reemplaza. La pauta debe ser semiestructurada y no preguntar por la marca, sino por cómo el decisor toma la decisión de elegir qué café poner y qué café no.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8482A" w:sz="8"/>
      </w:pBdr>
      <w:spacing w:after="160" w:before="360"/>
    </w:pPr>
    <w:rPr>
      <w:rFonts w:ascii="Calibri" w:cs="Calibri" w:eastAsia="Calibri" w:hAnsi="Calibri"/>
      <w:b/>
      <w:bCs/>
      <w:color w:val="1A1A1A"/>
      <w:sz w:val="30"/>
      <w:szCs w:val="30"/>
    </w:rPr>
  </w:style>
  <w:style w:type="paragraph" w:styleId="Heading2">
    <w:name w:val="Heading 2"/>
    <w:basedOn w:val="Normal"/>
    <w:next w:val="Normal"/>
    <w:qFormat/>
    <w:pPr>
      <w:spacing w:after="120" w:before="280"/>
    </w:pPr>
    <w:rPr>
      <w:rFonts w:ascii="Calibri" w:cs="Calibri" w:eastAsia="Calibri" w:hAnsi="Calibri"/>
      <w:b/>
      <w:bCs/>
      <w:color w:val="A8482A"/>
      <w:sz w:val="24"/>
      <w:szCs w:val="24"/>
    </w:rPr>
  </w:style>
  <w:style w:type="paragraph" w:styleId="Heading3">
    <w:name w:val="Heading 3"/>
    <w:basedOn w:val="Normal"/>
    <w:next w:val="Normal"/>
    <w:qFormat/>
    <w:pPr>
      <w:spacing w:after="100" w:before="220"/>
    </w:pPr>
    <w:rPr>
      <w:rFonts w:ascii="Calibri" w:cs="Calibri" w:eastAsia="Calibri" w:hAnsi="Calibri"/>
      <w:b/>
      <w:bCs/>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 Desafío Marley Coffee</dc:title>
  <dc:creator>Equipo Taller Aplicado de Marketing III</dc:creator>
  <dc:description>Punto de fuga, problemática y arquitectura de visibilidad</dc:description>
  <cp:lastModifiedBy>Un-named</cp:lastModifiedBy>
  <cp:revision>1</cp:revision>
  <dcterms:created xsi:type="dcterms:W3CDTF">2026-08-31T03:18:37.441Z</dcterms:created>
  <dcterms:modified xsi:type="dcterms:W3CDTF">2026-08-31T03:18:37.442Z</dcterms:modified>
</cp:coreProperties>
</file>

<file path=docProps/custom.xml><?xml version="1.0" encoding="utf-8"?>
<Properties xmlns="http://schemas.openxmlformats.org/officeDocument/2006/custom-properties" xmlns:vt="http://schemas.openxmlformats.org/officeDocument/2006/docPropsVTypes"/>
</file>