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3B5218"/>
          <w:sz w:val="44"/>
        </w:rPr>
        <w:t>Fuentes del Informe EP3</w:t>
      </w:r>
    </w:p>
    <w:p>
      <w:pPr>
        <w:spacing w:after="160"/>
      </w:pPr>
      <w:r>
        <w:rPr>
          <w:color w:val="555555"/>
          <w:sz w:val="20"/>
        </w:rPr>
        <w:t>Fuentes citadas en el informe, con enlace y fecha de consulta · 13 de septiembre de 2026</w:t>
      </w:r>
    </w:p>
    <w:p>
      <w:pPr>
        <w:spacing w:after="120"/>
      </w:pPr>
      <w:r>
        <w:rPr>
          <w:sz w:val="19"/>
        </w:rPr>
        <w:t>Las marcas son las mismas del informe: [C] dato del caso, [P] fuente pública y [EV] evidencia propia del equipo. Los enlaces se revisaron el 13 de septiembre de 2026 para confirmar que respaldan lo que el informe afirma; las excepciones se detallan al final. Si se agrega una fuente nueva, sumarla aquí con el mismo formato.</w:t>
      </w:r>
    </w:p>
    <w:tbl>
      <w:tblPr>
        <w:tblW w:type="auto" w:w="0"/>
        <w:tblLook w:firstColumn="1" w:firstRow="1" w:lastColumn="0" w:lastRow="0" w:noHBand="0" w:noVBand="1" w:val="04A0"/>
        <w:tblLayout w:type="fixed"/>
        <w:jc w:val="center"/>
        <w:tblBorders>
          <w:top w:val="single" w:sz="4" w:space="0" w:color="C9C9C9"/>
          <w:left w:val="single" w:sz="4" w:space="0" w:color="C9C9C9"/>
          <w:bottom w:val="single" w:sz="4" w:space="0" w:color="C9C9C9"/>
          <w:right w:val="single" w:sz="4" w:space="0" w:color="C9C9C9"/>
          <w:insideH w:val="single" w:sz="4" w:space="0" w:color="C9C9C9"/>
          <w:insideV w:val="single" w:sz="4" w:space="0" w:color="C9C9C9"/>
        </w:tblBorders>
        <w:tblCellMar>
          <w:left w:w="70" w:type="dxa"/>
          <w:right w:w="70" w:type="dxa"/>
          <w:top w:w="25" w:type="dxa"/>
          <w:bottom w:w="25" w:type="dxa"/>
        </w:tblCellMar>
      </w:tblPr>
      <w:tblGrid>
        <w:gridCol w:w="2017"/>
        <w:gridCol w:w="2017"/>
        <w:gridCol w:w="2017"/>
        <w:gridCol w:w="2017"/>
        <w:gridCol w:w="2017"/>
      </w:tblGrid>
      <w:tr>
        <w:trPr>
          <w:tblHeader w:val="true"/>
        </w:trPr>
        <w:tc>
          <w:tcPr>
            <w:tcW w:type="dxa" w:w="567"/>
            <w:shd w:val="clear" w:color="auto" w:fill="E3EBD3"/>
          </w:tcPr>
          <w:p>
            <w:pPr>
              <w:spacing w:after="0"/>
            </w:pPr>
          </w:p>
        </w:tc>
        <w:tc>
          <w:tcPr>
            <w:tcW w:type="dxa" w:w="3175"/>
            <w:shd w:val="clear" w:color="auto" w:fill="E3EBD3"/>
          </w:tcPr>
          <w:p>
            <w:pPr>
              <w:spacing w:after="0"/>
            </w:pPr>
            <w:r>
              <w:rPr>
                <w:b/>
                <w:sz w:val="16"/>
              </w:rPr>
              <w:t>Fuente</w:t>
            </w:r>
          </w:p>
        </w:tc>
        <w:tc>
          <w:tcPr>
            <w:tcW w:type="dxa" w:w="2665"/>
            <w:shd w:val="clear" w:color="auto" w:fill="E3EBD3"/>
          </w:tcPr>
          <w:p>
            <w:pPr>
              <w:spacing w:after="0"/>
            </w:pPr>
            <w:r>
              <w:rPr>
                <w:b/>
                <w:sz w:val="16"/>
              </w:rPr>
              <w:t>Qué respalda en el informe</w:t>
            </w:r>
          </w:p>
        </w:tc>
        <w:tc>
          <w:tcPr>
            <w:tcW w:type="dxa" w:w="2665"/>
            <w:shd w:val="clear" w:color="auto" w:fill="E3EBD3"/>
          </w:tcPr>
          <w:p>
            <w:pPr>
              <w:spacing w:after="0"/>
            </w:pPr>
            <w:r>
              <w:rPr>
                <w:b/>
                <w:sz w:val="16"/>
              </w:rPr>
              <w:t>Enlace</w:t>
            </w:r>
          </w:p>
        </w:tc>
        <w:tc>
          <w:tcPr>
            <w:tcW w:type="dxa" w:w="1020"/>
            <w:shd w:val="clear" w:color="auto" w:fill="E3EBD3"/>
          </w:tcPr>
          <w:p>
            <w:pPr>
              <w:spacing w:after="0"/>
            </w:pPr>
            <w:r>
              <w:rPr>
                <w:b/>
                <w:sz w:val="16"/>
              </w:rPr>
              <w:t>Consulta</w:t>
            </w:r>
          </w:p>
        </w:tc>
      </w:tr>
      <w:tr>
        <w:tc>
          <w:tcPr>
            <w:tcW w:type="dxa" w:w="567"/>
          </w:tcPr>
          <w:p>
            <w:pPr>
              <w:spacing w:after="0" w:line="240" w:lineRule="auto"/>
            </w:pPr>
            <w:r>
              <w:rPr>
                <w:sz w:val="16"/>
              </w:rPr>
              <w:t>[C]</w:t>
            </w:r>
          </w:p>
        </w:tc>
        <w:tc>
          <w:tcPr>
            <w:tcW w:type="dxa" w:w="3175"/>
          </w:tcPr>
          <w:p>
            <w:pPr>
              <w:spacing w:after="0" w:line="240" w:lineRule="auto"/>
            </w:pPr>
            <w:r>
              <w:rPr>
                <w:sz w:val="16"/>
              </w:rPr>
              <w:t xml:space="preserve">Duoc UC, Centro de Negocios (2026). </w:t>
            </w:r>
            <w:r>
              <w:rPr>
                <w:i/>
                <w:sz w:val="16"/>
              </w:rPr>
              <w:t>Desafío Marley Coffee</w:t>
            </w:r>
            <w:r>
              <w:rPr>
                <w:sz w:val="16"/>
              </w:rPr>
              <w:t>: documento de bajada, presentación y video de kickoff.</w:t>
            </w:r>
          </w:p>
        </w:tc>
        <w:tc>
          <w:tcPr>
            <w:tcW w:type="dxa" w:w="2665"/>
          </w:tcPr>
          <w:p>
            <w:pPr>
              <w:spacing w:after="0" w:line="240" w:lineRule="auto"/>
            </w:pPr>
            <w:r>
              <w:rPr>
                <w:sz w:val="16"/>
              </w:rPr>
              <w:t>Todas las cifras marcadas [C]: ventas por canal, puntos, retención, OTIF, quiebres, respuesta técnica, metas y restricciones del piloto</w:t>
            </w:r>
          </w:p>
        </w:tc>
        <w:tc>
          <w:tcPr>
            <w:tcW w:type="dxa" w:w="2665"/>
          </w:tcPr>
          <w:p>
            <w:pPr>
              <w:spacing w:after="0" w:line="240" w:lineRule="auto"/>
            </w:pPr>
            <w:r>
              <w:rPr>
                <w:sz w:val="16"/>
              </w:rPr>
              <w:t>Material del curso, no público</w:t>
            </w:r>
          </w:p>
        </w:tc>
        <w:tc>
          <w:tcPr>
            <w:tcW w:type="dxa" w:w="1020"/>
          </w:tcPr>
          <w:p>
            <w:pPr>
              <w:spacing w:after="0" w:line="240" w:lineRule="auto"/>
            </w:pPr>
            <w:r>
              <w:rPr>
                <w:sz w:val="16"/>
              </w:rPr>
              <w:t>Julio 2026</w:t>
            </w:r>
          </w:p>
        </w:tc>
      </w:tr>
      <w:tr>
        <w:tc>
          <w:tcPr>
            <w:tcW w:type="dxa" w:w="567"/>
          </w:tcPr>
          <w:p>
            <w:pPr>
              <w:spacing w:after="0" w:line="240" w:lineRule="auto"/>
            </w:pPr>
            <w:r>
              <w:rPr>
                <w:sz w:val="16"/>
              </w:rPr>
              <w:t>[C]</w:t>
            </w:r>
          </w:p>
        </w:tc>
        <w:tc>
          <w:tcPr>
            <w:tcW w:type="dxa" w:w="3175"/>
          </w:tcPr>
          <w:p>
            <w:pPr>
              <w:spacing w:after="0" w:line="240" w:lineRule="auto"/>
            </w:pPr>
            <w:r>
              <w:rPr>
                <w:sz w:val="16"/>
              </w:rPr>
              <w:t xml:space="preserve">Duoc UC (2026). </w:t>
            </w:r>
            <w:r>
              <w:rPr>
                <w:i/>
                <w:sz w:val="16"/>
              </w:rPr>
              <w:t>Evaluación Parcial N°3: Propuesta inicial integrada</w:t>
            </w:r>
            <w:r>
              <w:rPr>
                <w:sz w:val="16"/>
              </w:rPr>
              <w:t>. Encargo, TMA1103.</w:t>
            </w:r>
          </w:p>
        </w:tc>
        <w:tc>
          <w:tcPr>
            <w:tcW w:type="dxa" w:w="2665"/>
          </w:tcPr>
          <w:p>
            <w:pPr>
              <w:spacing w:after="0" w:line="240" w:lineRule="auto"/>
            </w:pPr>
            <w:r>
              <w:rPr>
                <w:sz w:val="16"/>
              </w:rPr>
              <w:t>Estructura y exigencias del informe</w:t>
            </w:r>
          </w:p>
        </w:tc>
        <w:tc>
          <w:tcPr>
            <w:tcW w:type="dxa" w:w="2665"/>
          </w:tcPr>
          <w:p>
            <w:pPr>
              <w:spacing w:after="0" w:line="240" w:lineRule="auto"/>
            </w:pPr>
            <w:r>
              <w:rPr>
                <w:sz w:val="16"/>
              </w:rPr>
              <w:t>Material del curso, no público</w:t>
            </w:r>
          </w:p>
        </w:tc>
        <w:tc>
          <w:tcPr>
            <w:tcW w:type="dxa" w:w="1020"/>
          </w:tcPr>
          <w:p>
            <w:pPr>
              <w:spacing w:after="0" w:line="240" w:lineRule="auto"/>
            </w:pPr>
            <w:r>
              <w:rPr>
                <w:sz w:val="16"/>
              </w:rPr>
              <w:t>Sept. 2026</w:t>
            </w:r>
          </w:p>
        </w:tc>
      </w:tr>
      <w:tr>
        <w:tc>
          <w:tcPr>
            <w:tcW w:type="dxa" w:w="567"/>
          </w:tcPr>
          <w:p>
            <w:pPr>
              <w:spacing w:after="0" w:line="240" w:lineRule="auto"/>
            </w:pPr>
            <w:r>
              <w:rPr>
                <w:sz w:val="16"/>
              </w:rPr>
              <w:t>[P]</w:t>
            </w:r>
          </w:p>
        </w:tc>
        <w:tc>
          <w:tcPr>
            <w:tcW w:type="dxa" w:w="3175"/>
          </w:tcPr>
          <w:p>
            <w:pPr>
              <w:spacing w:after="0" w:line="240" w:lineRule="auto"/>
            </w:pPr>
            <w:r>
              <w:rPr>
                <w:sz w:val="16"/>
              </w:rPr>
              <w:t xml:space="preserve">Fiscalía Nacional Económica (18 de agosto de 2025). </w:t>
            </w:r>
            <w:r>
              <w:rPr>
                <w:i/>
                <w:sz w:val="16"/>
              </w:rPr>
              <w:t>Informe de aprobación sobre adquisición de control en Promotora Chilena de Café Colombia S.A. por parte de Copec S.A.</w:t>
            </w:r>
            <w:r>
              <w:rPr>
                <w:sz w:val="16"/>
              </w:rPr>
              <w:t xml:space="preserve"> Rol F422-2025.</w:t>
            </w:r>
          </w:p>
        </w:tc>
        <w:tc>
          <w:tcPr>
            <w:tcW w:type="dxa" w:w="2665"/>
          </w:tcPr>
          <w:p>
            <w:pPr>
              <w:spacing w:after="0" w:line="240" w:lineRule="auto"/>
            </w:pPr>
            <w:r>
              <w:rPr>
                <w:sz w:val="16"/>
              </w:rPr>
              <w:t>1.1.4 · Nestlé tiene 60–70% y Marley Coffee 10–20% del canal institucional</w:t>
            </w:r>
          </w:p>
        </w:tc>
        <w:tc>
          <w:tcPr>
            <w:tcW w:type="dxa" w:w="2665"/>
          </w:tcPr>
          <w:p>
            <w:pPr>
              <w:spacing w:after="0" w:line="240" w:lineRule="auto"/>
            </w:pPr>
            <w:hyperlink r:id="rId11">
              <w:r>
                <w:rPr>
                  <w:color w:val="1F4E9E"/>
                  <w:u w:val="single"/>
                  <w:sz w:val="16"/>
                </w:rPr>
                <w:t xml:space="preserve">https://www.fne.gob.cl/wp-content/uploads/2025/08/inap_F422_2025.pdf</w:t>
              </w:r>
            </w:hyperlink>
          </w:p>
        </w:tc>
        <w:tc>
          <w:tcPr>
            <w:tcW w:type="dxa" w:w="1020"/>
          </w:tcPr>
          <w:p>
            <w:pPr>
              <w:spacing w:after="0" w:line="240" w:lineRule="auto"/>
            </w:pPr>
            <w:r>
              <w:rPr>
                <w:sz w:val="16"/>
              </w:rPr>
              <w:t>13-09-2026</w:t>
            </w:r>
          </w:p>
        </w:tc>
      </w:tr>
      <w:tr>
        <w:tc>
          <w:tcPr>
            <w:tcW w:type="dxa" w:w="567"/>
          </w:tcPr>
          <w:p>
            <w:pPr>
              <w:spacing w:after="0" w:line="240" w:lineRule="auto"/>
            </w:pPr>
            <w:r>
              <w:rPr>
                <w:sz w:val="16"/>
              </w:rPr>
              <w:t>[P]</w:t>
            </w:r>
          </w:p>
        </w:tc>
        <w:tc>
          <w:tcPr>
            <w:tcW w:type="dxa" w:w="3175"/>
          </w:tcPr>
          <w:p>
            <w:pPr>
              <w:spacing w:after="0" w:line="240" w:lineRule="auto"/>
            </w:pPr>
            <w:r>
              <w:rPr>
                <w:sz w:val="16"/>
              </w:rPr>
              <w:t xml:space="preserve">Nestlé Professional (s.f.). </w:t>
            </w:r>
            <w:r>
              <w:rPr>
                <w:i/>
                <w:sz w:val="16"/>
              </w:rPr>
              <w:t>Máquinas de café para negocios en Chile</w:t>
            </w:r>
            <w:r>
              <w:rPr>
                <w:sz w:val="16"/>
              </w:rPr>
              <w:t>.</w:t>
            </w:r>
          </w:p>
        </w:tc>
        <w:tc>
          <w:tcPr>
            <w:tcW w:type="dxa" w:w="2665"/>
          </w:tcPr>
          <w:p>
            <w:pPr>
              <w:spacing w:after="0" w:line="240" w:lineRule="auto"/>
            </w:pPr>
            <w:r>
              <w:rPr>
                <w:sz w:val="16"/>
              </w:rPr>
              <w:t>1.1.4 · La oferta de Nestlé se apoya en comodato, instalación, capacitación y mantención preventiva y correctiva</w:t>
            </w:r>
          </w:p>
        </w:tc>
        <w:tc>
          <w:tcPr>
            <w:tcW w:type="dxa" w:w="2665"/>
          </w:tcPr>
          <w:p>
            <w:pPr>
              <w:spacing w:after="0" w:line="240" w:lineRule="auto"/>
            </w:pPr>
            <w:hyperlink r:id="rId12">
              <w:r>
                <w:rPr>
                  <w:color w:val="1F4E9E"/>
                  <w:u w:val="single"/>
                  <w:sz w:val="16"/>
                </w:rPr>
                <w:t xml:space="preserve">https://www.nestleprofessional-latam.com/cl/bebidas/maquinas</w:t>
              </w:r>
            </w:hyperlink>
          </w:p>
        </w:tc>
        <w:tc>
          <w:tcPr>
            <w:tcW w:type="dxa" w:w="1020"/>
          </w:tcPr>
          <w:p>
            <w:pPr>
              <w:spacing w:after="0" w:line="240" w:lineRule="auto"/>
            </w:pPr>
            <w:r>
              <w:rPr>
                <w:sz w:val="16"/>
              </w:rPr>
              <w:t>13-09-2026</w:t>
            </w:r>
          </w:p>
        </w:tc>
      </w:tr>
      <w:tr>
        <w:tc>
          <w:tcPr>
            <w:tcW w:type="dxa" w:w="567"/>
          </w:tcPr>
          <w:p>
            <w:pPr>
              <w:spacing w:after="0" w:line="240" w:lineRule="auto"/>
            </w:pPr>
            <w:r>
              <w:rPr>
                <w:sz w:val="16"/>
              </w:rPr>
              <w:t>[P]</w:t>
            </w:r>
          </w:p>
        </w:tc>
        <w:tc>
          <w:tcPr>
            <w:tcW w:type="dxa" w:w="3175"/>
          </w:tcPr>
          <w:p>
            <w:pPr>
              <w:spacing w:after="0" w:line="240" w:lineRule="auto"/>
            </w:pPr>
            <w:r>
              <w:rPr>
                <w:sz w:val="16"/>
              </w:rPr>
              <w:t xml:space="preserve">Ascarza, E. (2018). Retention futility: Targeting high-risk customers might be ineffective. </w:t>
            </w:r>
            <w:r>
              <w:rPr>
                <w:i/>
                <w:sz w:val="16"/>
              </w:rPr>
              <w:t>Journal of Marketing Research</w:t>
            </w:r>
            <w:r>
              <w:rPr>
                <w:sz w:val="16"/>
              </w:rPr>
              <w:t>, 55(1), 80–98.</w:t>
            </w:r>
          </w:p>
        </w:tc>
        <w:tc>
          <w:tcPr>
            <w:tcW w:type="dxa" w:w="2665"/>
          </w:tcPr>
          <w:p>
            <w:pPr>
              <w:spacing w:after="0" w:line="240" w:lineRule="auto"/>
            </w:pPr>
            <w:r>
              <w:rPr>
                <w:sz w:val="16"/>
              </w:rPr>
              <w:t>1.3.4 · Priorizar a los clientes con mayor probabilidad de fuga suele ser inefectivo; conviene priorizar por sensibilidad a la intervención</w:t>
            </w:r>
          </w:p>
        </w:tc>
        <w:tc>
          <w:tcPr>
            <w:tcW w:type="dxa" w:w="2665"/>
          </w:tcPr>
          <w:p>
            <w:pPr>
              <w:spacing w:after="0" w:line="240" w:lineRule="auto"/>
            </w:pPr>
            <w:hyperlink r:id="rId13">
              <w:r>
                <w:rPr>
                  <w:color w:val="1F4E9E"/>
                  <w:u w:val="single"/>
                  <w:sz w:val="16"/>
                </w:rPr>
                <w:t xml:space="preserve">https://doi.org/10.1509/jmr.16.0163</w:t>
              </w:r>
            </w:hyperlink>
          </w:p>
        </w:tc>
        <w:tc>
          <w:tcPr>
            <w:tcW w:type="dxa" w:w="1020"/>
          </w:tcPr>
          <w:p>
            <w:pPr>
              <w:spacing w:after="0" w:line="240" w:lineRule="auto"/>
            </w:pPr>
            <w:r>
              <w:rPr>
                <w:sz w:val="16"/>
              </w:rPr>
              <w:t>13-09-2026</w:t>
            </w:r>
          </w:p>
        </w:tc>
      </w:tr>
      <w:tr>
        <w:tc>
          <w:tcPr>
            <w:tcW w:type="dxa" w:w="567"/>
          </w:tcPr>
          <w:p>
            <w:pPr>
              <w:spacing w:after="0" w:line="240" w:lineRule="auto"/>
            </w:pPr>
            <w:r>
              <w:rPr>
                <w:sz w:val="16"/>
              </w:rPr>
              <w:t>[P]</w:t>
            </w:r>
          </w:p>
        </w:tc>
        <w:tc>
          <w:tcPr>
            <w:tcW w:type="dxa" w:w="3175"/>
          </w:tcPr>
          <w:p>
            <w:pPr>
              <w:spacing w:after="0" w:line="240" w:lineRule="auto"/>
            </w:pPr>
            <w:r>
              <w:rPr>
                <w:sz w:val="16"/>
              </w:rPr>
              <w:t>Ley N° 21.719, que regula la protección y el tratamiento de los datos personales y crea la Agencia de Protección de Datos Personales. Diario Oficial, 13 de diciembre de 2024.</w:t>
            </w:r>
          </w:p>
        </w:tc>
        <w:tc>
          <w:tcPr>
            <w:tcW w:type="dxa" w:w="2665"/>
          </w:tcPr>
          <w:p>
            <w:pPr>
              <w:spacing w:after="0" w:line="240" w:lineRule="auto"/>
            </w:pPr>
            <w:r>
              <w:rPr>
                <w:sz w:val="16"/>
              </w:rPr>
              <w:t>1.2 · Consentimiento para tratar datos personales; vigencia desde el 1 de diciembre de 2026</w:t>
            </w:r>
          </w:p>
        </w:tc>
        <w:tc>
          <w:tcPr>
            <w:tcW w:type="dxa" w:w="2665"/>
          </w:tcPr>
          <w:p>
            <w:pPr>
              <w:spacing w:after="0" w:line="240" w:lineRule="auto"/>
            </w:pPr>
            <w:hyperlink r:id="rId14">
              <w:r>
                <w:rPr>
                  <w:color w:val="1F4E9E"/>
                  <w:u w:val="single"/>
                  <w:sz w:val="16"/>
                </w:rPr>
                <w:t xml:space="preserve">https://www.bcn.cl/leychile/navegar?idNorma=1209272</w:t>
              </w:r>
            </w:hyperlink>
          </w:p>
        </w:tc>
        <w:tc>
          <w:tcPr>
            <w:tcW w:type="dxa" w:w="1020"/>
          </w:tcPr>
          <w:p>
            <w:pPr>
              <w:spacing w:after="0" w:line="240" w:lineRule="auto"/>
            </w:pPr>
            <w:r>
              <w:rPr>
                <w:sz w:val="16"/>
              </w:rPr>
              <w:t>13-09-2026</w:t>
            </w:r>
          </w:p>
        </w:tc>
      </w:tr>
      <w:tr>
        <w:tc>
          <w:tcPr>
            <w:tcW w:type="dxa" w:w="567"/>
          </w:tcPr>
          <w:p>
            <w:pPr>
              <w:spacing w:after="0" w:line="240" w:lineRule="auto"/>
            </w:pPr>
            <w:r>
              <w:rPr>
                <w:sz w:val="16"/>
              </w:rPr>
              <w:t>[P]</w:t>
            </w:r>
          </w:p>
        </w:tc>
        <w:tc>
          <w:tcPr>
            <w:tcW w:type="dxa" w:w="3175"/>
          </w:tcPr>
          <w:p>
            <w:pPr>
              <w:spacing w:after="0" w:line="240" w:lineRule="auto"/>
            </w:pPr>
            <w:r>
              <w:rPr>
                <w:sz w:val="16"/>
              </w:rPr>
              <w:t xml:space="preserve">Meta for Developers (s.f.). </w:t>
            </w:r>
            <w:r>
              <w:rPr>
                <w:i/>
                <w:sz w:val="16"/>
              </w:rPr>
              <w:t>Template categorization</w:t>
            </w:r>
            <w:r>
              <w:rPr>
                <w:sz w:val="16"/>
              </w:rPr>
              <w:t>. WhatsApp Business Platform.</w:t>
            </w:r>
          </w:p>
        </w:tc>
        <w:tc>
          <w:tcPr>
            <w:tcW w:type="dxa" w:w="2665"/>
          </w:tcPr>
          <w:p>
            <w:pPr>
              <w:spacing w:after="0" w:line="240" w:lineRule="auto"/>
            </w:pPr>
            <w:r>
              <w:rPr>
                <w:sz w:val="16"/>
              </w:rPr>
              <w:t>1.2 y glosario · Los mensajes proactivos usan plantillas aprobadas; la categoría utilidad es para avisos transaccionales</w:t>
            </w:r>
          </w:p>
        </w:tc>
        <w:tc>
          <w:tcPr>
            <w:tcW w:type="dxa" w:w="2665"/>
          </w:tcPr>
          <w:p>
            <w:pPr>
              <w:spacing w:after="0" w:line="240" w:lineRule="auto"/>
            </w:pPr>
            <w:hyperlink r:id="rId15">
              <w:r>
                <w:rPr>
                  <w:color w:val="1F4E9E"/>
                  <w:u w:val="single"/>
                  <w:sz w:val="16"/>
                </w:rPr>
                <w:t xml:space="preserve">https://developers.facebook.com/documentation/business-messaging/whatsapp/templates/template-categorization</w:t>
              </w:r>
            </w:hyperlink>
          </w:p>
        </w:tc>
        <w:tc>
          <w:tcPr>
            <w:tcW w:type="dxa" w:w="1020"/>
          </w:tcPr>
          <w:p>
            <w:pPr>
              <w:spacing w:after="0" w:line="240" w:lineRule="auto"/>
            </w:pPr>
            <w:r>
              <w:rPr>
                <w:sz w:val="16"/>
              </w:rPr>
              <w:t>13-09-2026</w:t>
            </w:r>
          </w:p>
        </w:tc>
      </w:tr>
      <w:tr>
        <w:tc>
          <w:tcPr>
            <w:tcW w:type="dxa" w:w="567"/>
          </w:tcPr>
          <w:p>
            <w:pPr>
              <w:spacing w:after="0" w:line="240" w:lineRule="auto"/>
            </w:pPr>
            <w:r>
              <w:rPr>
                <w:sz w:val="16"/>
              </w:rPr>
              <w:t>[P]</w:t>
            </w:r>
          </w:p>
        </w:tc>
        <w:tc>
          <w:tcPr>
            <w:tcW w:type="dxa" w:w="3175"/>
          </w:tcPr>
          <w:p>
            <w:pPr>
              <w:spacing w:after="0" w:line="240" w:lineRule="auto"/>
            </w:pPr>
            <w:r>
              <w:rPr>
                <w:sz w:val="16"/>
              </w:rPr>
              <w:t xml:space="preserve">Meta for Developers (s.f.). </w:t>
            </w:r>
            <w:r>
              <w:rPr>
                <w:i/>
                <w:sz w:val="16"/>
              </w:rPr>
              <w:t>Send messages</w:t>
            </w:r>
            <w:r>
              <w:rPr>
                <w:sz w:val="16"/>
              </w:rPr>
              <w:t>: ventana de servicio de 24 horas. WhatsApp Business Platform.</w:t>
            </w:r>
          </w:p>
        </w:tc>
        <w:tc>
          <w:tcPr>
            <w:tcW w:type="dxa" w:w="2665"/>
          </w:tcPr>
          <w:p>
            <w:pPr>
              <w:spacing w:after="0" w:line="240" w:lineRule="auto"/>
            </w:pPr>
            <w:r>
              <w:rPr>
                <w:sz w:val="16"/>
              </w:rPr>
              <w:t>1.2 · Fuera de la ventana de 24 horas sólo se pueden enviar plantillas aprobadas</w:t>
            </w:r>
          </w:p>
        </w:tc>
        <w:tc>
          <w:tcPr>
            <w:tcW w:type="dxa" w:w="2665"/>
          </w:tcPr>
          <w:p>
            <w:pPr>
              <w:spacing w:after="0" w:line="240" w:lineRule="auto"/>
            </w:pPr>
            <w:hyperlink r:id="rId16">
              <w:r>
                <w:rPr>
                  <w:color w:val="1F4E9E"/>
                  <w:u w:val="single"/>
                  <w:sz w:val="16"/>
                </w:rPr>
                <w:t xml:space="preserve">https://developers.facebook.com/documentation/business-messaging/whatsapp/messages/send-messages</w:t>
              </w:r>
            </w:hyperlink>
          </w:p>
        </w:tc>
        <w:tc>
          <w:tcPr>
            <w:tcW w:type="dxa" w:w="1020"/>
          </w:tcPr>
          <w:p>
            <w:pPr>
              <w:spacing w:after="0" w:line="240" w:lineRule="auto"/>
            </w:pPr>
            <w:r>
              <w:rPr>
                <w:sz w:val="16"/>
              </w:rPr>
              <w:t>13-09-2026</w:t>
            </w:r>
          </w:p>
        </w:tc>
      </w:tr>
      <w:tr>
        <w:tc>
          <w:tcPr>
            <w:tcW w:type="dxa" w:w="567"/>
          </w:tcPr>
          <w:p>
            <w:pPr>
              <w:spacing w:after="0" w:line="240" w:lineRule="auto"/>
            </w:pPr>
            <w:r>
              <w:rPr>
                <w:sz w:val="16"/>
              </w:rPr>
              <w:t>[P]</w:t>
            </w:r>
          </w:p>
        </w:tc>
        <w:tc>
          <w:tcPr>
            <w:tcW w:type="dxa" w:w="3175"/>
          </w:tcPr>
          <w:p>
            <w:pPr>
              <w:spacing w:after="0" w:line="240" w:lineRule="auto"/>
            </w:pPr>
            <w:r>
              <w:rPr>
                <w:sz w:val="16"/>
              </w:rPr>
              <w:t xml:space="preserve">Meta for Developers (s.f.). </w:t>
            </w:r>
            <w:r>
              <w:rPr>
                <w:i/>
                <w:sz w:val="16"/>
              </w:rPr>
              <w:t>Getting opt-in</w:t>
            </w:r>
            <w:r>
              <w:rPr>
                <w:sz w:val="16"/>
              </w:rPr>
              <w:t>. WhatsApp Business Platform.</w:t>
            </w:r>
          </w:p>
        </w:tc>
        <w:tc>
          <w:tcPr>
            <w:tcW w:type="dxa" w:w="2665"/>
          </w:tcPr>
          <w:p>
            <w:pPr>
              <w:spacing w:after="0" w:line="240" w:lineRule="auto"/>
            </w:pPr>
            <w:r>
              <w:rPr>
                <w:sz w:val="16"/>
              </w:rPr>
              <w:t>1.2 y 1.7 · El cliente debe aceptar recibir mensajes antes de que la empresa le escriba</w:t>
            </w:r>
          </w:p>
        </w:tc>
        <w:tc>
          <w:tcPr>
            <w:tcW w:type="dxa" w:w="2665"/>
          </w:tcPr>
          <w:p>
            <w:pPr>
              <w:spacing w:after="0" w:line="240" w:lineRule="auto"/>
            </w:pPr>
            <w:hyperlink r:id="rId17">
              <w:r>
                <w:rPr>
                  <w:color w:val="1F4E9E"/>
                  <w:u w:val="single"/>
                  <w:sz w:val="16"/>
                </w:rPr>
                <w:t xml:space="preserve">https://developers.facebook.com/documentation/business-messaging/whatsapp/getting-opt-in</w:t>
              </w:r>
            </w:hyperlink>
          </w:p>
        </w:tc>
        <w:tc>
          <w:tcPr>
            <w:tcW w:type="dxa" w:w="1020"/>
          </w:tcPr>
          <w:p>
            <w:pPr>
              <w:spacing w:after="0" w:line="240" w:lineRule="auto"/>
            </w:pPr>
            <w:r>
              <w:rPr>
                <w:sz w:val="16"/>
              </w:rPr>
              <w:t>13-09-2026</w:t>
            </w:r>
          </w:p>
        </w:tc>
      </w:tr>
      <w:tr>
        <w:tc>
          <w:tcPr>
            <w:tcW w:type="dxa" w:w="567"/>
          </w:tcPr>
          <w:p>
            <w:pPr>
              <w:spacing w:after="0" w:line="240" w:lineRule="auto"/>
            </w:pPr>
            <w:r>
              <w:rPr>
                <w:sz w:val="16"/>
              </w:rPr>
              <w:t>[P]</w:t>
            </w:r>
          </w:p>
        </w:tc>
        <w:tc>
          <w:tcPr>
            <w:tcW w:type="dxa" w:w="3175"/>
          </w:tcPr>
          <w:p>
            <w:pPr>
              <w:spacing w:after="0" w:line="240" w:lineRule="auto"/>
            </w:pPr>
            <w:r>
              <w:rPr>
                <w:sz w:val="16"/>
              </w:rPr>
              <w:t xml:space="preserve">Marley Coffee Chile (s.f.). </w:t>
            </w:r>
            <w:r>
              <w:rPr>
                <w:i/>
                <w:sz w:val="16"/>
              </w:rPr>
              <w:t>Cotiza con Marley Coffee</w:t>
            </w:r>
            <w:r>
              <w:rPr>
                <w:sz w:val="16"/>
              </w:rPr>
              <w:t>.</w:t>
            </w:r>
          </w:p>
        </w:tc>
        <w:tc>
          <w:tcPr>
            <w:tcW w:type="dxa" w:w="2665"/>
          </w:tcPr>
          <w:p>
            <w:pPr>
              <w:spacing w:after="0" w:line="240" w:lineRule="auto"/>
            </w:pPr>
            <w:r>
              <w:rPr>
                <w:sz w:val="16"/>
              </w:rPr>
              <w:t>1.5 · El cotizador web ofrece modalidades de máquina: automática, bar con máquina y molinillo, pods y oficina</w:t>
            </w:r>
          </w:p>
        </w:tc>
        <w:tc>
          <w:tcPr>
            <w:tcW w:type="dxa" w:w="2665"/>
          </w:tcPr>
          <w:p>
            <w:pPr>
              <w:spacing w:after="0" w:line="240" w:lineRule="auto"/>
            </w:pPr>
            <w:hyperlink r:id="rId18">
              <w:r>
                <w:rPr>
                  <w:color w:val="1F4E9E"/>
                  <w:u w:val="single"/>
                  <w:sz w:val="16"/>
                </w:rPr>
                <w:t xml:space="preserve">https://www.marleycoffee.cl/cotizaconmarleycoffee</w:t>
              </w:r>
            </w:hyperlink>
          </w:p>
        </w:tc>
        <w:tc>
          <w:tcPr>
            <w:tcW w:type="dxa" w:w="1020"/>
          </w:tcPr>
          <w:p>
            <w:pPr>
              <w:spacing w:after="0" w:line="240" w:lineRule="auto"/>
            </w:pPr>
            <w:r>
              <w:rPr>
                <w:sz w:val="16"/>
              </w:rPr>
              <w:t>13-09-2026</w:t>
            </w:r>
          </w:p>
        </w:tc>
      </w:tr>
      <w:tr>
        <w:tc>
          <w:tcPr>
            <w:tcW w:type="dxa" w:w="567"/>
          </w:tcPr>
          <w:p>
            <w:pPr>
              <w:spacing w:after="0" w:line="240" w:lineRule="auto"/>
            </w:pPr>
            <w:r>
              <w:rPr>
                <w:sz w:val="16"/>
              </w:rPr>
              <w:t>[EV]</w:t>
            </w:r>
          </w:p>
        </w:tc>
        <w:tc>
          <w:tcPr>
            <w:tcW w:type="dxa" w:w="3175"/>
          </w:tcPr>
          <w:p>
            <w:pPr>
              <w:spacing w:after="0" w:line="240" w:lineRule="auto"/>
            </w:pPr>
            <w:r>
              <w:rPr>
                <w:sz w:val="16"/>
              </w:rPr>
              <w:t>Barrido propio de la oferta pública de nueve proveedores B2B de café en Chile (agosto de 2026).</w:t>
            </w:r>
          </w:p>
        </w:tc>
        <w:tc>
          <w:tcPr>
            <w:tcW w:type="dxa" w:w="2665"/>
          </w:tcPr>
          <w:p>
            <w:pPr>
              <w:spacing w:after="0" w:line="240" w:lineRule="auto"/>
            </w:pPr>
            <w:r>
              <w:rPr>
                <w:sz w:val="16"/>
              </w:rPr>
              <w:t>1.1.4 · Ninguno declaraba públicamente pedido con seguimiento ni reposición automática</w:t>
            </w:r>
          </w:p>
        </w:tc>
        <w:tc>
          <w:tcPr>
            <w:tcW w:type="dxa" w:w="2665"/>
          </w:tcPr>
          <w:p>
            <w:pPr>
              <w:spacing w:after="0" w:line="240" w:lineRule="auto"/>
            </w:pPr>
            <w:r>
              <w:rPr>
                <w:sz w:val="16"/>
              </w:rPr>
              <w:t>Evidencia del diagnóstico (EV1)</w:t>
            </w:r>
          </w:p>
        </w:tc>
        <w:tc>
          <w:tcPr>
            <w:tcW w:type="dxa" w:w="1020"/>
          </w:tcPr>
          <w:p>
            <w:pPr>
              <w:spacing w:after="0" w:line="240" w:lineRule="auto"/>
            </w:pPr>
            <w:r>
              <w:rPr>
                <w:sz w:val="16"/>
              </w:rPr>
              <w:t>Agosto 2026</w:t>
            </w:r>
          </w:p>
        </w:tc>
      </w:tr>
      <w:tr>
        <w:tc>
          <w:tcPr>
            <w:tcW w:type="dxa" w:w="567"/>
          </w:tcPr>
          <w:p>
            <w:pPr>
              <w:spacing w:after="0" w:line="240" w:lineRule="auto"/>
            </w:pPr>
            <w:r>
              <w:rPr>
                <w:sz w:val="16"/>
              </w:rPr>
              <w:t>[EV]</w:t>
            </w:r>
          </w:p>
        </w:tc>
        <w:tc>
          <w:tcPr>
            <w:tcW w:type="dxa" w:w="3175"/>
          </w:tcPr>
          <w:p>
            <w:pPr>
              <w:spacing w:after="0" w:line="240" w:lineRule="auto"/>
            </w:pPr>
            <w:r>
              <w:rPr>
                <w:sz w:val="16"/>
              </w:rPr>
              <w:t>Social listening exploratorio propio (agosto de 2026): 109 registros, 66 de voz orgánica.</w:t>
            </w:r>
          </w:p>
        </w:tc>
        <w:tc>
          <w:tcPr>
            <w:tcW w:type="dxa" w:w="2665"/>
          </w:tcPr>
          <w:p>
            <w:pPr>
              <w:spacing w:after="0" w:line="240" w:lineRule="auto"/>
            </w:pPr>
            <w:r>
              <w:rPr>
                <w:sz w:val="16"/>
              </w:rPr>
              <w:t>1.1.1 · Base de la evidencia UX, pendiente de sintetizar</w:t>
            </w:r>
          </w:p>
        </w:tc>
        <w:tc>
          <w:tcPr>
            <w:tcW w:type="dxa" w:w="2665"/>
          </w:tcPr>
          <w:p>
            <w:pPr>
              <w:spacing w:after="0" w:line="240" w:lineRule="auto"/>
            </w:pPr>
            <w:r>
              <w:rPr>
                <w:sz w:val="16"/>
              </w:rPr>
              <w:t>Evidencia del diagnóstico (EV1)</w:t>
            </w:r>
          </w:p>
        </w:tc>
        <w:tc>
          <w:tcPr>
            <w:tcW w:type="dxa" w:w="1020"/>
          </w:tcPr>
          <w:p>
            <w:pPr>
              <w:spacing w:after="0" w:line="240" w:lineRule="auto"/>
            </w:pPr>
            <w:r>
              <w:rPr>
                <w:sz w:val="16"/>
              </w:rPr>
              <w:t>Agosto 2026</w:t>
            </w:r>
          </w:p>
        </w:tc>
      </w:tr>
      <w:tr>
        <w:tc>
          <w:tcPr>
            <w:tcW w:type="dxa" w:w="567"/>
          </w:tcPr>
          <w:p>
            <w:pPr>
              <w:spacing w:after="0" w:line="240" w:lineRule="auto"/>
            </w:pPr>
            <w:r>
              <w:rPr>
                <w:sz w:val="16"/>
              </w:rPr>
              <w:t>[EV]</w:t>
            </w:r>
          </w:p>
        </w:tc>
        <w:tc>
          <w:tcPr>
            <w:tcW w:type="dxa" w:w="3175"/>
          </w:tcPr>
          <w:p>
            <w:pPr>
              <w:spacing w:after="0" w:line="240" w:lineRule="auto"/>
            </w:pPr>
            <w:r>
              <w:rPr>
                <w:sz w:val="16"/>
              </w:rPr>
              <w:t>Reunión de retroalimentación con el docente (8 de septiembre de 2026), grabación transcrita.</w:t>
            </w:r>
          </w:p>
        </w:tc>
        <w:tc>
          <w:tcPr>
            <w:tcW w:type="dxa" w:w="2665"/>
          </w:tcPr>
          <w:p>
            <w:pPr>
              <w:spacing w:after="0" w:line="240" w:lineRule="auto"/>
            </w:pPr>
            <w:r>
              <w:rPr>
                <w:sz w:val="16"/>
              </w:rPr>
              <w:t>1.1.1, 1.1.4, 1.4 y 1.7 · Foco en retención, la señal no puede depender del dueño del local, no abordar logística</w:t>
            </w:r>
          </w:p>
        </w:tc>
        <w:tc>
          <w:tcPr>
            <w:tcW w:type="dxa" w:w="2665"/>
          </w:tcPr>
          <w:p>
            <w:pPr>
              <w:spacing w:after="0" w:line="240" w:lineRule="auto"/>
            </w:pPr>
            <w:r>
              <w:rPr>
                <w:sz w:val="16"/>
              </w:rPr>
              <w:t>Registro interno del equipo</w:t>
            </w:r>
          </w:p>
        </w:tc>
        <w:tc>
          <w:tcPr>
            <w:tcW w:type="dxa" w:w="1020"/>
          </w:tcPr>
          <w:p>
            <w:pPr>
              <w:spacing w:after="0" w:line="240" w:lineRule="auto"/>
            </w:pPr>
            <w:r>
              <w:rPr>
                <w:sz w:val="16"/>
              </w:rPr>
              <w:t>08-09-2026</w:t>
            </w:r>
          </w:p>
        </w:tc>
      </w:tr>
      <w:tr>
        <w:tc>
          <w:tcPr>
            <w:tcW w:type="dxa" w:w="567"/>
          </w:tcPr>
          <w:p>
            <w:pPr>
              <w:spacing w:after="0" w:line="240" w:lineRule="auto"/>
            </w:pPr>
            <w:r>
              <w:rPr>
                <w:sz w:val="16"/>
              </w:rPr>
              <w:t>[EV]</w:t>
            </w:r>
          </w:p>
        </w:tc>
        <w:tc>
          <w:tcPr>
            <w:tcW w:type="dxa" w:w="3175"/>
          </w:tcPr>
          <w:p>
            <w:pPr>
              <w:spacing w:after="0" w:line="240" w:lineRule="auto"/>
            </w:pPr>
            <w:r>
              <w:rPr>
                <w:sz w:val="16"/>
              </w:rPr>
              <w:t>Consola Marley: prototipo funcional con datos sintéticos (septiembre de 2026).</w:t>
            </w:r>
          </w:p>
        </w:tc>
        <w:tc>
          <w:tcPr>
            <w:tcW w:type="dxa" w:w="2665"/>
          </w:tcPr>
          <w:p>
            <w:pPr>
              <w:spacing w:after="0" w:line="240" w:lineRule="auto"/>
            </w:pPr>
            <w:r>
              <w:rPr>
                <w:sz w:val="16"/>
              </w:rPr>
              <w:t>1.3 y 1.4 · Pantallas, flujos y revisiones del prototipo</w:t>
            </w:r>
          </w:p>
        </w:tc>
        <w:tc>
          <w:tcPr>
            <w:tcW w:type="dxa" w:w="2665"/>
          </w:tcPr>
          <w:p>
            <w:pPr>
              <w:spacing w:after="0" w:line="240" w:lineRule="auto"/>
            </w:pPr>
            <w:hyperlink r:id="rId19">
              <w:r>
                <w:rPr>
                  <w:color w:val="1F4E9E"/>
                  <w:u w:val="single"/>
                  <w:sz w:val="16"/>
                </w:rPr>
                <w:t xml:space="preserve">https://github.com/AlejoG1302/marley-consola</w:t>
              </w:r>
            </w:hyperlink>
          </w:p>
        </w:tc>
        <w:tc>
          <w:tcPr>
            <w:tcW w:type="dxa" w:w="1020"/>
          </w:tcPr>
          <w:p>
            <w:pPr>
              <w:spacing w:after="0" w:line="240" w:lineRule="auto"/>
            </w:pPr>
            <w:r>
              <w:rPr>
                <w:sz w:val="16"/>
              </w:rPr>
              <w:t>13-09-2026</w:t>
            </w:r>
          </w:p>
        </w:tc>
      </w:tr>
    </w:tbl>
    <w:p>
      <w:pPr>
        <w:pStyle w:val="Heading2"/>
      </w:pPr>
      <w:r>
        <w:t>Notas de la verificación</w:t>
      </w:r>
    </w:p>
    <w:p>
      <w:pPr>
        <w:pStyle w:val="ListBullet"/>
        <w:spacing w:after="40"/>
      </w:pPr>
      <w:r>
        <w:rPr>
          <w:b/>
          <w:sz w:val="19"/>
        </w:rPr>
        <w:t>Ascarza (2018).</w:t>
      </w:r>
      <w:r>
        <w:rPr>
          <w:sz w:val="19"/>
        </w:rPr>
        <w:t xml:space="preserve"> El texto completo está tras un muro de pago; la cita —DOI, volumen y páginas— se confirmó en SAGE, SSRN y la American Marketing Association.</w:t>
      </w:r>
    </w:p>
    <w:p>
      <w:pPr>
        <w:pStyle w:val="ListBullet"/>
        <w:spacing w:after="40"/>
      </w:pPr>
      <w:r>
        <w:rPr>
          <w:b/>
          <w:sz w:val="19"/>
        </w:rPr>
        <w:t>Ley 21.719.</w:t>
      </w:r>
      <w:r>
        <w:rPr>
          <w:sz w:val="19"/>
        </w:rPr>
        <w:t xml:space="preserve"> El visor de la BCN no cargó el articulado en la revisión automática. La vigencia del 1 de diciembre de 2026 surge del artículo primero transitorio y la confirman varias fuentes legales; conviene abrir el enlace en un navegador y revisarlo.</w:t>
      </w:r>
    </w:p>
    <w:p>
      <w:pPr>
        <w:pStyle w:val="ListBullet"/>
        <w:spacing w:after="40"/>
      </w:pPr>
      <w:r>
        <w:rPr>
          <w:b/>
          <w:sz w:val="19"/>
        </w:rPr>
        <w:t>Marley Coffee.</w:t>
      </w:r>
      <w:r>
        <w:rPr>
          <w:sz w:val="19"/>
        </w:rPr>
        <w:t xml:space="preserve"> Usar el enlace /cotizaconmarleycoffee: la dirección /cotiza que aparece en los buscadores hoy no muestra el cotizador.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1077" w:bottom="907" w:left="107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55555"/>
        <w:sz w:val="16"/>
      </w:rPr>
      <w:t>Fuentes del Informe EP3 · Marley Coffee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7" w:lineRule="auto"/>
    </w:pPr>
    <w:rPr>
      <w:rFonts w:ascii="Calibri" w:hAnsi="Calibri" w:eastAsia="Calibri" w:cs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80"/>
      <w:outlineLvl w:val="0"/>
    </w:pPr>
    <w:rPr>
      <w:rFonts w:ascii="Calibri" w:hAnsi="Calibri" w:eastAsia="Calibri" w:cs="Calibri"/>
      <w:b/>
      <w:bCs/>
      <w:color w:val="3B5218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="Calibri" w:hAnsi="Calibri" w:eastAsia="Calibri" w:cs="Calibri"/>
      <w:b/>
      <w:bCs/>
      <w:color w:val="1C1C1C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 w:eastAsia="Calibri" w:cs="Calibri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fne.gob.cl/wp-content/uploads/2025/08/inap_F422_2025.pdf" TargetMode="External"/><Relationship Id="rId12" Type="http://schemas.openxmlformats.org/officeDocument/2006/relationships/hyperlink" Target="https://www.nestleprofessional-latam.com/cl/bebidas/maquinas" TargetMode="External"/><Relationship Id="rId13" Type="http://schemas.openxmlformats.org/officeDocument/2006/relationships/hyperlink" Target="https://doi.org/10.1509/jmr.16.0163" TargetMode="External"/><Relationship Id="rId14" Type="http://schemas.openxmlformats.org/officeDocument/2006/relationships/hyperlink" Target="https://www.bcn.cl/leychile/navegar?idNorma=1209272" TargetMode="External"/><Relationship Id="rId15" Type="http://schemas.openxmlformats.org/officeDocument/2006/relationships/hyperlink" Target="https://developers.facebook.com/documentation/business-messaging/whatsapp/templates/template-categorization" TargetMode="External"/><Relationship Id="rId16" Type="http://schemas.openxmlformats.org/officeDocument/2006/relationships/hyperlink" Target="https://developers.facebook.com/documentation/business-messaging/whatsapp/messages/send-messages" TargetMode="External"/><Relationship Id="rId17" Type="http://schemas.openxmlformats.org/officeDocument/2006/relationships/hyperlink" Target="https://developers.facebook.com/documentation/business-messaging/whatsapp/getting-opt-in" TargetMode="External"/><Relationship Id="rId18" Type="http://schemas.openxmlformats.org/officeDocument/2006/relationships/hyperlink" Target="https://www.marleycoffee.cl/cotizaconmarleycoffee" TargetMode="External"/><Relationship Id="rId19" Type="http://schemas.openxmlformats.org/officeDocument/2006/relationships/hyperlink" Target="https://github.com/AlejoG1302/marley-consol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