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B5218"/>
          <w:sz w:val="44"/>
        </w:rPr>
        <w:t>Pendientes del Informe EP3</w:t>
      </w:r>
    </w:p>
    <w:p>
      <w:pPr>
        <w:spacing w:after="200"/>
      </w:pPr>
      <w:r>
        <w:rPr>
          <w:color w:val="555555"/>
          <w:sz w:val="20"/>
        </w:rPr>
        <w:t>Qué falta, por qué hace falta y qué hay que buscar para completarlo · 13 de septiembre de 2026</w:t>
      </w:r>
    </w:p>
    <w:p>
      <w:pPr>
        <w:spacing w:after="80"/>
      </w:pPr>
      <w:r>
        <w:rPr>
          <w:b/>
        </w:rPr>
        <w:t>Cómo usar este archivo.</w:t>
      </w:r>
      <w:r>
        <w:t xml:space="preserve"> Todo lo que en el informe aparece entre corchetes y resaltado en amarillo está explicado aquí, con el mismo nombre. No hay responsables asignados: el equipo se organiza. Al completar algo, se reemplaza el texto resaltado del informe.</w:t>
      </w:r>
    </w:p>
    <w:tbl>
      <w:tblPr>
        <w:tblW w:type="auto" w:w="0"/>
        <w:tblLook w:firstColumn="1" w:firstRow="1" w:lastColumn="0" w:lastRow="0" w:noHBand="0" w:noVBand="1" w:val="04A0"/>
        <w:tblLayout w:type="fixed"/>
        <w:tblBorders>
          <w:top w:val="single" w:sz="4" w:space="0" w:color="B9CB94"/>
          <w:left w:val="single" w:sz="4" w:space="0" w:color="B9CB94"/>
          <w:bottom w:val="single" w:sz="4" w:space="0" w:color="B9CB94"/>
          <w:right w:val="single" w:sz="4" w:space="0" w:color="B9CB94"/>
          <w:insideH w:val="single" w:sz="4" w:space="0" w:color="B9CB94"/>
          <w:insideV w:val="single" w:sz="4" w:space="0" w:color="B9CB94"/>
        </w:tblBorders>
        <w:tblCellMar>
          <w:left w:w="70" w:type="dxa"/>
          <w:right w:w="70" w:type="dxa"/>
          <w:top w:w="25" w:type="dxa"/>
          <w:bottom w:w="25" w:type="dxa"/>
        </w:tblCellMar>
      </w:tblPr>
      <w:tblGrid>
        <w:gridCol w:w="10086"/>
      </w:tblGrid>
      <w:tr>
        <w:tc>
          <w:tcPr>
            <w:tcW w:type="dxa" w:w="10091"/>
            <w:shd w:val="clear" w:color="auto" w:fill="FFF6DB"/>
          </w:tcPr>
          <w:p>
            <w:pPr>
              <w:spacing w:after="0"/>
            </w:pPr>
            <w:r>
              <w:rPr>
                <w:b/>
                <w:sz w:val="21"/>
              </w:rPr>
              <w:t>Regla de la pauta que no se negocia:</w:t>
            </w:r>
            <w:r>
              <w:rPr>
                <w:sz w:val="21"/>
              </w:rPr>
              <w:t xml:space="preserve"> no se permite inventar datos, fuentes, entrevistas, resultados de test ni métricas. Si algo no se consigue a tiempo, el informe lo declara como pendiente o como supuesto; nunca se rellena.</w:t>
            </w:r>
          </w:p>
        </w:tc>
      </w:tr>
    </w:tbl>
    <w:p>
      <w:pPr>
        <w:spacing w:after="0"/>
      </w:pPr>
    </w:p>
    <w:p>
      <w:pPr>
        <w:pStyle w:val="Heading1"/>
      </w:pPr>
      <w:r>
        <w:t>1 · Piezas que faltan en el apartado 1.1</w:t>
      </w:r>
    </w:p>
    <w:p>
      <w:pPr>
        <w:spacing w:after="80"/>
      </w:pPr>
      <w:r>
        <w:t xml:space="preserve">En el feedback escrito de la primera evaluación, el docente pidió ordenar el argumento con esta cadena: línea base integrada → segmentación → evidencia UX → journey → trazabilidad BI–UX → causas → oportunidades → criterios → matriz de decisión. El informe ya tiene el journey, las causas, las oportunidades, los criterios y la matriz. </w:t>
      </w:r>
      <w:r>
        <w:rPr>
          <w:b/>
        </w:rPr>
        <w:t>Faltan los cuatro eslabones de abajo.</w:t>
      </w:r>
      <w:r>
        <w:t xml:space="preserve"> Cada uno entra en el informe como síntesis de tres a cinco líneas, en el recuadro amarillo del apartado 1.1.1.</w:t>
      </w:r>
    </w:p>
    <w:p>
      <w:pPr>
        <w:pStyle w:val="Heading2"/>
      </w:pPr>
      <w:r>
        <w:t>1.1 · Línea base integrada</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Una sola tabla con la foto actual de los cuatro canales, antes de cualquier propuesta.</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Hoy esos datos están repartidos en distintas partes del diagnóstico. El docente pidió verlos juntos, en una vista, antes de hablar de problemas.</w:t>
            </w:r>
          </w:p>
        </w:tc>
      </w:tr>
      <w:tr>
        <w:tc>
          <w:tcPr>
            <w:tcW w:type="dxa" w:w="1928"/>
            <w:shd w:val="clear" w:color="auto" w:fill="F3F1EC"/>
          </w:tcPr>
          <w:p>
            <w:pPr>
              <w:spacing w:after="0"/>
            </w:pPr>
            <w:r>
              <w:rPr>
                <w:b/>
                <w:sz w:val="18"/>
              </w:rPr>
              <w:t>Qué buscar y dónde</w:t>
            </w:r>
          </w:p>
        </w:tc>
        <w:tc>
          <w:tcPr>
            <w:tcW w:type="dxa" w:w="8164"/>
          </w:tcPr>
          <w:p>
            <w:pPr>
              <w:spacing w:after="0"/>
            </w:pPr>
            <w:r>
              <w:rPr>
                <w:sz w:val="18"/>
              </w:rPr>
              <w:t>Todo está en el documento del desafío: por canal, % de ventas, puntos activos, máquinas, retención, NPS, OTIF, quiebres de stock, disponibilidad de máquinas, reposición digital y qué datos existen hoy. No hay que inventar nada: cada celda se marca [C] si es dato del caso o [D] si es un cálculo propio.</w:t>
            </w:r>
          </w:p>
        </w:tc>
      </w:tr>
      <w:tr>
        <w:tc>
          <w:tcPr>
            <w:tcW w:type="dxa" w:w="1928"/>
            <w:shd w:val="clear" w:color="auto" w:fill="F3F1EC"/>
          </w:tcPr>
          <w:p>
            <w:pPr>
              <w:spacing w:after="0"/>
            </w:pPr>
            <w:r>
              <w:rPr>
                <w:b/>
                <w:sz w:val="18"/>
              </w:rPr>
              <w:t>Cómo debe quedar</w:t>
            </w:r>
          </w:p>
        </w:tc>
        <w:tc>
          <w:tcPr>
            <w:tcW w:type="dxa" w:w="8164"/>
          </w:tcPr>
          <w:p>
            <w:pPr>
              <w:spacing w:after="0"/>
            </w:pPr>
            <w:r>
              <w:rPr>
                <w:sz w:val="18"/>
              </w:rPr>
              <w:t>Una tabla compacta y tres a cinco líneas de lectura: qué canal pesa más, cuál tiene fuga medible y dónde no hay datos.</w:t>
            </w:r>
          </w:p>
        </w:tc>
      </w:tr>
    </w:tbl>
    <w:p>
      <w:pPr>
        <w:pStyle w:val="Heading2"/>
      </w:pPr>
      <w:r>
        <w:t>1.2 · Segmentación dentro de cada canal</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Dividir cada canal en grupos de clientes que se comportan distinto.</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El informe anterior no tenía segmentación y el docente lo marcó. Además justifica por qué el piloto parte con Horeca y OCS de atención directa, y por qué la propuesta de valor cambia según quién decide.</w:t>
            </w:r>
          </w:p>
        </w:tc>
      </w:tr>
      <w:tr>
        <w:tc>
          <w:tcPr>
            <w:tcW w:type="dxa" w:w="1928"/>
            <w:shd w:val="clear" w:color="auto" w:fill="F3F1EC"/>
          </w:tcPr>
          <w:p>
            <w:pPr>
              <w:spacing w:after="0"/>
            </w:pPr>
            <w:r>
              <w:rPr>
                <w:b/>
                <w:sz w:val="18"/>
              </w:rPr>
              <w:t>Qué buscar y dónde</w:t>
            </w:r>
          </w:p>
        </w:tc>
        <w:tc>
          <w:tcPr>
            <w:tcW w:type="dxa" w:w="8164"/>
          </w:tcPr>
          <w:p>
            <w:pPr>
              <w:spacing w:after="0"/>
            </w:pPr>
            <w:r>
              <w:rPr>
                <w:sz w:val="18"/>
              </w:rPr>
              <w:t>Los cortes que ya da el caso. Horeca: 68% en RM y el resto en regiones; independientes y cadenas. OCS: 310 puntos vía XYZ SPA y 950 directos u otros operadores. Panaderías: 140 de una cadena regional, 210 en seis cadenas medianas y 270 independientes. Estaciones: 95 con operador nacional, 85 con operadores regionales y 180 independientes. Para cada segmento: qué compra, quién decide, qué fricción vive y cuánto control tiene Marley. Las entrevistas y el social listening ayudan a completarlo.</w:t>
            </w:r>
          </w:p>
        </w:tc>
      </w:tr>
      <w:tr>
        <w:tc>
          <w:tcPr>
            <w:tcW w:type="dxa" w:w="1928"/>
            <w:shd w:val="clear" w:color="auto" w:fill="F3F1EC"/>
          </w:tcPr>
          <w:p>
            <w:pPr>
              <w:spacing w:after="0"/>
            </w:pPr>
            <w:r>
              <w:rPr>
                <w:b/>
                <w:sz w:val="18"/>
              </w:rPr>
              <w:t>Cómo debe quedar</w:t>
            </w:r>
          </w:p>
        </w:tc>
        <w:tc>
          <w:tcPr>
            <w:tcW w:type="dxa" w:w="8164"/>
          </w:tcPr>
          <w:p>
            <w:pPr>
              <w:spacing w:after="0"/>
            </w:pPr>
            <w:r>
              <w:rPr>
                <w:sz w:val="18"/>
              </w:rPr>
              <w:t>Tabla segmento · quién decide · qué compra · fricción principal · control de Marley, más tres a cinco líneas. Con esto también se ajusta la segmentación preliminar del apartado 1.5.</w:t>
            </w:r>
          </w:p>
        </w:tc>
      </w:tr>
    </w:tbl>
    <w:p>
      <w:pPr>
        <w:pStyle w:val="Heading2"/>
      </w:pPr>
      <w:r>
        <w:t>1.3 · Evidencia UX</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Cómo viven los clientes las fricciones, contado desde ellos y no desde los indicadores.</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El docente dijo que el diagnóstico se dedujo del funcionamiento operacional del caso y que faltó contrastarlo con fuente primaria.</w:t>
            </w:r>
          </w:p>
        </w:tc>
      </w:tr>
      <w:tr>
        <w:tc>
          <w:tcPr>
            <w:tcW w:type="dxa" w:w="1928"/>
            <w:shd w:val="clear" w:color="auto" w:fill="F3F1EC"/>
          </w:tcPr>
          <w:p>
            <w:pPr>
              <w:spacing w:after="0"/>
            </w:pPr>
            <w:r>
              <w:rPr>
                <w:b/>
                <w:sz w:val="18"/>
              </w:rPr>
              <w:t>Qué buscar y dónde</w:t>
            </w:r>
          </w:p>
        </w:tc>
        <w:tc>
          <w:tcPr>
            <w:tcW w:type="dxa" w:w="8164"/>
          </w:tcPr>
          <w:p>
            <w:pPr>
              <w:spacing w:after="0"/>
            </w:pPr>
            <w:r>
              <w:rPr>
                <w:sz w:val="18"/>
              </w:rPr>
              <w:t>Dos fuentes. Uno: el social listening que ya existe (109 registros, 66 de voz orgánica, agosto de 2026); sacar temas y citas, y declarar que casi todo viene del canal de conveniencia, así que no se puede trasladar a OCS. Dos: las entrevistas a decisores del punto 2.1.</w:t>
            </w:r>
          </w:p>
        </w:tc>
      </w:tr>
      <w:tr>
        <w:tc>
          <w:tcPr>
            <w:tcW w:type="dxa" w:w="1928"/>
            <w:shd w:val="clear" w:color="auto" w:fill="F3F1EC"/>
          </w:tcPr>
          <w:p>
            <w:pPr>
              <w:spacing w:after="0"/>
            </w:pPr>
            <w:r>
              <w:rPr>
                <w:b/>
                <w:sz w:val="18"/>
              </w:rPr>
              <w:t>Cómo debe quedar</w:t>
            </w:r>
          </w:p>
        </w:tc>
        <w:tc>
          <w:tcPr>
            <w:tcW w:type="dxa" w:w="8164"/>
          </w:tcPr>
          <w:p>
            <w:pPr>
              <w:spacing w:after="0"/>
            </w:pPr>
            <w:r>
              <w:rPr>
                <w:sz w:val="18"/>
              </w:rPr>
              <w:t>Tres a cinco hallazgos, cada uno con una cita textual, el canal y la fuente, y una línea con los límites de la evidencia.</w:t>
            </w:r>
          </w:p>
        </w:tc>
      </w:tr>
    </w:tbl>
    <w:p>
      <w:pPr>
        <w:pStyle w:val="Heading2"/>
      </w:pPr>
      <w:r>
        <w:t>1.4 · Trazabilidad BI–UX</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Una tabla que une cada indicador de negocio con el momento del cliente donde se produce.</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Es la pieza que prueba la idea central del informe: los indicadores existen a nivel agregado, pero no se pueden bajar a cada local ni cruzar con lo que vive el cliente. El docente la pidió de forma explícita.</w:t>
            </w:r>
          </w:p>
        </w:tc>
      </w:tr>
      <w:tr>
        <w:tc>
          <w:tcPr>
            <w:tcW w:type="dxa" w:w="1928"/>
            <w:shd w:val="clear" w:color="auto" w:fill="F3F1EC"/>
          </w:tcPr>
          <w:p>
            <w:pPr>
              <w:spacing w:after="0"/>
            </w:pPr>
            <w:r>
              <w:rPr>
                <w:b/>
                <w:sz w:val="18"/>
              </w:rPr>
              <w:t>Qué buscar y dónde</w:t>
            </w:r>
          </w:p>
        </w:tc>
        <w:tc>
          <w:tcPr>
            <w:tcW w:type="dxa" w:w="8164"/>
          </w:tcPr>
          <w:p>
            <w:pPr>
              <w:spacing w:after="0"/>
            </w:pPr>
            <w:r>
              <w:rPr>
                <w:sz w:val="18"/>
              </w:rPr>
              <w:t>Los indicadores del caso (retención, OTIF, reclamos, quiebres, respuesta técnica, reposición digital, NPS, conversión de leads), las ocho etapas del journey, la fuente de cada dato (ERP, CRM, sistema de tickets, planillas de terceros, encuestas) y si hoy se puede ver por local. El caso ya dice que no existe un identificador único de cliente ni de punto.</w:t>
            </w:r>
          </w:p>
        </w:tc>
      </w:tr>
      <w:tr>
        <w:tc>
          <w:tcPr>
            <w:tcW w:type="dxa" w:w="1928"/>
            <w:shd w:val="clear" w:color="auto" w:fill="F3F1EC"/>
          </w:tcPr>
          <w:p>
            <w:pPr>
              <w:spacing w:after="0"/>
            </w:pPr>
            <w:r>
              <w:rPr>
                <w:b/>
                <w:sz w:val="18"/>
              </w:rPr>
              <w:t>Cómo debe quedar</w:t>
            </w:r>
          </w:p>
        </w:tc>
        <w:tc>
          <w:tcPr>
            <w:tcW w:type="dxa" w:w="8164"/>
          </w:tcPr>
          <w:p>
            <w:pPr>
              <w:spacing w:after="0"/>
            </w:pPr>
            <w:r>
              <w:rPr>
                <w:sz w:val="18"/>
              </w:rPr>
              <w:t>Tabla indicador · etapa del journey · cómo lo vive el cliente · fuente del dato · ¿se puede observar hoy por local?, más tres líneas de lectura.</w:t>
            </w:r>
          </w:p>
        </w:tc>
      </w:tr>
    </w:tbl>
    <w:p>
      <w:pPr>
        <w:pStyle w:val="Heading1"/>
      </w:pPr>
      <w:r>
        <w:t>2 · Investigación</w:t>
      </w:r>
    </w:p>
    <w:p>
      <w:pPr>
        <w:pStyle w:val="Heading2"/>
      </w:pPr>
      <w:r>
        <w:t>2.1 · Entrevistas a decisores</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Conversaciones de 25 a 30 minutos con quien decide la compra de café: dueño o administrador en Horeca, encargado de compras o facilities en OCS.</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Es la fuente primaria que alimenta la evidencia UX (1.3) y la validación (1.4). El docente la marcó como lo más atrasado del proyecto.</w:t>
            </w:r>
          </w:p>
        </w:tc>
      </w:tr>
      <w:tr>
        <w:tc>
          <w:tcPr>
            <w:tcW w:type="dxa" w:w="1928"/>
            <w:shd w:val="clear" w:color="auto" w:fill="F3F1EC"/>
          </w:tcPr>
          <w:p>
            <w:pPr>
              <w:spacing w:after="0"/>
            </w:pPr>
            <w:r>
              <w:rPr>
                <w:b/>
                <w:sz w:val="18"/>
              </w:rPr>
              <w:t>Qué buscar</w:t>
            </w:r>
          </w:p>
        </w:tc>
        <w:tc>
          <w:tcPr>
            <w:tcW w:type="dxa" w:w="8164"/>
          </w:tcPr>
          <w:p>
            <w:pPr>
              <w:spacing w:after="0"/>
            </w:pPr>
            <w:r>
              <w:rPr>
                <w:sz w:val="18"/>
              </w:rPr>
              <w:t>Mínimo una entrevista Horeca y una OCS; ideal, tres por canal. La pauta ya está hecha (Pauta entrevista Marley coffee.docx). Lo que hay que escuchar: qué pasó en los meses previos a cambiar de proveedor, sin sugerir la respuesta, y si aceptaría pedir y agendar repartos por WhatsApp.</w:t>
            </w:r>
          </w:p>
        </w:tc>
      </w:tr>
      <w:tr>
        <w:tc>
          <w:tcPr>
            <w:tcW w:type="dxa" w:w="1928"/>
            <w:shd w:val="clear" w:color="auto" w:fill="F3F1EC"/>
          </w:tcPr>
          <w:p>
            <w:pPr>
              <w:spacing w:after="0"/>
            </w:pPr>
            <w:r>
              <w:rPr>
                <w:b/>
                <w:sz w:val="18"/>
              </w:rPr>
              <w:t>Cómo debe quedar</w:t>
            </w:r>
          </w:p>
        </w:tc>
        <w:tc>
          <w:tcPr>
            <w:tcW w:type="dxa" w:w="8164"/>
          </w:tcPr>
          <w:p>
            <w:pPr>
              <w:spacing w:after="0"/>
            </w:pPr>
            <w:r>
              <w:rPr>
                <w:sz w:val="18"/>
              </w:rPr>
              <w:t>Audio con consentimiento, notas o transcripción, y una tabla hallazgo · cita textual · qué confirma o refuta. No reemplazar con opiniones propias.</w:t>
            </w:r>
          </w:p>
        </w:tc>
      </w:tr>
    </w:tbl>
    <w:p>
      <w:pPr>
        <w:pStyle w:val="Heading2"/>
      </w:pPr>
      <w:r>
        <w:t>2.2 · Telemetría de las máquinas</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Saber si las máquinas de Marley pueden enviar datos solas: tazas servidas, nivel de café o alertas de falla.</w:t>
            </w:r>
          </w:p>
        </w:tc>
      </w:tr>
      <w:tr>
        <w:tc>
          <w:tcPr>
            <w:tcW w:type="dxa" w:w="1928"/>
            <w:shd w:val="clear" w:color="auto" w:fill="F3F1EC"/>
          </w:tcPr>
          <w:p>
            <w:pPr>
              <w:spacing w:after="0"/>
            </w:pPr>
            <w:r>
              <w:rPr>
                <w:b/>
                <w:sz w:val="18"/>
              </w:rPr>
              <w:t>Por qué hace falta</w:t>
            </w:r>
          </w:p>
        </w:tc>
        <w:tc>
          <w:tcPr>
            <w:tcW w:type="dxa" w:w="8164"/>
          </w:tcPr>
          <w:p>
            <w:pPr>
              <w:spacing w:after="0"/>
            </w:pPr>
            <w:r>
              <w:rPr>
                <w:sz w:val="18"/>
              </w:rPr>
              <w:t>No bloquea el informe: la telemetría queda fuera del MVP hasta tener esta información y se agregará después. Pero el docente anticipó que la pregunta va a salir en la presentación.</w:t>
            </w:r>
          </w:p>
        </w:tc>
      </w:tr>
      <w:tr>
        <w:tc>
          <w:tcPr>
            <w:tcW w:type="dxa" w:w="1928"/>
            <w:shd w:val="clear" w:color="auto" w:fill="F3F1EC"/>
          </w:tcPr>
          <w:p>
            <w:pPr>
              <w:spacing w:after="0"/>
            </w:pPr>
            <w:r>
              <w:rPr>
                <w:b/>
                <w:sz w:val="18"/>
              </w:rPr>
              <w:t>Qué buscar y dónde</w:t>
            </w:r>
          </w:p>
        </w:tc>
        <w:tc>
          <w:tcPr>
            <w:tcW w:type="dxa" w:w="8164"/>
          </w:tcPr>
          <w:p>
            <w:pPr>
              <w:spacing w:after="0"/>
            </w:pPr>
            <w:r>
              <w:rPr>
                <w:sz w:val="18"/>
              </w:rPr>
              <w:t>Qué marcas y modelos usa Marley (el cotizador de marleycoffee.cl ofrece automática, bar con molinillo, pods y oficina) y la ficha técnica del fabricante: conectividad, contadores de servido, conexión vía API. También se puede consultar al Centro de Negocios.</w:t>
            </w:r>
          </w:p>
        </w:tc>
      </w:tr>
      <w:tr>
        <w:tc>
          <w:tcPr>
            <w:tcW w:type="dxa" w:w="1928"/>
            <w:shd w:val="clear" w:color="auto" w:fill="F3F1EC"/>
          </w:tcPr>
          <w:p>
            <w:pPr>
              <w:spacing w:after="0"/>
            </w:pPr>
            <w:r>
              <w:rPr>
                <w:b/>
                <w:sz w:val="18"/>
              </w:rPr>
              <w:t>Cómo debe quedar</w:t>
            </w:r>
          </w:p>
        </w:tc>
        <w:tc>
          <w:tcPr>
            <w:tcW w:type="dxa" w:w="8164"/>
          </w:tcPr>
          <w:p>
            <w:pPr>
              <w:spacing w:after="0"/>
            </w:pPr>
            <w:r>
              <w:rPr>
                <w:sz w:val="18"/>
              </w:rPr>
              <w:t>Tabla modelo · ¿envía datos? · cómo · fuente con fecha de consulta.</w:t>
            </w:r>
          </w:p>
        </w:tc>
      </w:tr>
    </w:tbl>
    <w:p>
      <w:pPr>
        <w:pStyle w:val="Heading2"/>
      </w:pPr>
      <w:r>
        <w:t>2.3 · Datos que el caso no entrega</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Información que ayudaría a afinar las cifras, si el Centro de Negocios la responde.</w:t>
            </w:r>
          </w:p>
        </w:tc>
      </w:tr>
      <w:tr>
        <w:tc>
          <w:tcPr>
            <w:tcW w:type="dxa" w:w="1928"/>
            <w:shd w:val="clear" w:color="auto" w:fill="F3F1EC"/>
          </w:tcPr>
          <w:p>
            <w:pPr>
              <w:spacing w:after="0"/>
            </w:pPr>
            <w:r>
              <w:rPr>
                <w:b/>
                <w:sz w:val="18"/>
              </w:rPr>
              <w:t>Qué buscar</w:t>
            </w:r>
          </w:p>
        </w:tc>
        <w:tc>
          <w:tcPr>
            <w:tcW w:type="dxa" w:w="8164"/>
          </w:tcPr>
          <w:p>
            <w:pPr>
              <w:spacing w:after="0"/>
            </w:pPr>
            <w:r>
              <w:rPr>
                <w:sz w:val="18"/>
              </w:rPr>
              <w:t>Cada cuánto pide realmente un local (hoy se supone una vez al mes) · si Marley registra el motivo cuando un cliente se va · cuántos leads llegan y qué es un lead calificado para Marley · cuántos de los 950 puntos OCS son de atención directa · qué dicen los contratos con terceros sobre la entrega de datos.</w:t>
            </w:r>
          </w:p>
        </w:tc>
      </w:tr>
      <w:tr>
        <w:tc>
          <w:tcPr>
            <w:tcW w:type="dxa" w:w="1928"/>
            <w:shd w:val="clear" w:color="auto" w:fill="F3F1EC"/>
          </w:tcPr>
          <w:p>
            <w:pPr>
              <w:spacing w:after="0"/>
            </w:pPr>
            <w:r>
              <w:rPr>
                <w:b/>
                <w:sz w:val="18"/>
              </w:rPr>
              <w:t>Cómo debe quedar</w:t>
            </w:r>
          </w:p>
        </w:tc>
        <w:tc>
          <w:tcPr>
            <w:tcW w:type="dxa" w:w="8164"/>
          </w:tcPr>
          <w:p>
            <w:pPr>
              <w:spacing w:after="0"/>
            </w:pPr>
            <w:r>
              <w:rPr>
                <w:sz w:val="18"/>
              </w:rPr>
              <w:t>Cada dato que llegue reemplaza el supuesto correspondiente en el informe, con su fuente. Si no llega, el supuesto queda declarado como está.</w:t>
            </w:r>
          </w:p>
        </w:tc>
      </w:tr>
    </w:tbl>
    <w:p>
      <w:pPr>
        <w:pStyle w:val="Heading1"/>
      </w:pPr>
      <w:r>
        <w:t>3 · A evaluación del equipo</w:t>
      </w:r>
    </w:p>
    <w:p>
      <w:pPr>
        <w:pStyle w:val="Heading2"/>
      </w:pPr>
      <w:r>
        <w:t>3.1 · Test de usabilidad con usuarios</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es</w:t>
            </w:r>
          </w:p>
        </w:tc>
        <w:tc>
          <w:tcPr>
            <w:tcW w:type="dxa" w:w="8164"/>
          </w:tcPr>
          <w:p>
            <w:pPr>
              <w:spacing w:after="0"/>
            </w:pPr>
            <w:r>
              <w:rPr>
                <w:sz w:val="18"/>
              </w:rPr>
              <w:t>Pedirle a tres a cinco personas que usen el prototipo con tareas concretas —encontrar el local más urgente, registrar una llamada, encontrar un reparto reagendado— y anotar dónde se traban.</w:t>
            </w:r>
          </w:p>
        </w:tc>
      </w:tr>
      <w:tr>
        <w:tc>
          <w:tcPr>
            <w:tcW w:type="dxa" w:w="1928"/>
            <w:shd w:val="clear" w:color="auto" w:fill="F3F1EC"/>
          </w:tcPr>
          <w:p>
            <w:pPr>
              <w:spacing w:after="0"/>
            </w:pPr>
            <w:r>
              <w:rPr>
                <w:b/>
                <w:sz w:val="18"/>
              </w:rPr>
              <w:t>Por qué importa</w:t>
            </w:r>
          </w:p>
        </w:tc>
        <w:tc>
          <w:tcPr>
            <w:tcW w:type="dxa" w:w="8164"/>
          </w:tcPr>
          <w:p>
            <w:pPr>
              <w:spacing w:after="0"/>
            </w:pPr>
            <w:r>
              <w:rPr>
                <w:sz w:val="18"/>
              </w:rPr>
              <w:t>El apartado 1.4 vale 15% de la nota y la pauta pide test, hallazgos, severidad y mejoras. Hoy el informe documenta la retroalimentación del docente y las revisiones del equipo, y declara que no hubo test con usuarios.</w:t>
            </w:r>
          </w:p>
        </w:tc>
      </w:tr>
      <w:tr>
        <w:tc>
          <w:tcPr>
            <w:tcW w:type="dxa" w:w="1928"/>
            <w:shd w:val="clear" w:color="auto" w:fill="F3F1EC"/>
          </w:tcPr>
          <w:p>
            <w:pPr>
              <w:spacing w:after="0"/>
            </w:pPr>
            <w:r>
              <w:rPr>
                <w:b/>
                <w:sz w:val="18"/>
              </w:rPr>
              <w:t>Qué implicaría</w:t>
            </w:r>
          </w:p>
        </w:tc>
        <w:tc>
          <w:tcPr>
            <w:tcW w:type="dxa" w:w="8164"/>
          </w:tcPr>
          <w:p>
            <w:pPr>
              <w:spacing w:after="0"/>
            </w:pPr>
            <w:r>
              <w:rPr>
                <w:sz w:val="18"/>
              </w:rPr>
              <w:t>El protocolo ya está en la tabla 16 del informe. Unos 20 minutos por persona, con perfiles comerciales o de coordinación de cualquier empresa B2B. Se reporta sólo lo que realmente pase.</w:t>
            </w:r>
          </w:p>
        </w:tc>
      </w:tr>
      <w:tr>
        <w:tc>
          <w:tcPr>
            <w:tcW w:type="dxa" w:w="1928"/>
            <w:shd w:val="clear" w:color="auto" w:fill="F3F1EC"/>
          </w:tcPr>
          <w:p>
            <w:pPr>
              <w:spacing w:after="0"/>
            </w:pPr>
            <w:r>
              <w:rPr>
                <w:b/>
                <w:sz w:val="18"/>
              </w:rPr>
              <w:t>A debatir</w:t>
            </w:r>
          </w:p>
        </w:tc>
        <w:tc>
          <w:tcPr>
            <w:tcW w:type="dxa" w:w="8164"/>
          </w:tcPr>
          <w:p>
            <w:pPr>
              <w:spacing w:after="0"/>
            </w:pPr>
            <w:r>
              <w:rPr>
                <w:sz w:val="18"/>
              </w:rPr>
              <w:t>Si se hace o no. Si no se hace, el texto actual del informe queda como está.</w:t>
            </w:r>
          </w:p>
        </w:tc>
      </w:tr>
    </w:tbl>
    <w:p>
      <w:pPr>
        <w:pStyle w:val="Heading1"/>
      </w:pPr>
      <w:r>
        <w:t>4 · Forma y cierre del documento</w:t>
      </w:r>
    </w:p>
    <w:p>
      <w:pPr>
        <w:pStyle w:val="Heading2"/>
      </w:pPr>
      <w:r>
        <w:t>4.1 · Portada</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falta</w:t>
            </w:r>
          </w:p>
        </w:tc>
        <w:tc>
          <w:tcPr>
            <w:tcW w:type="dxa" w:w="8164"/>
          </w:tcPr>
          <w:p>
            <w:pPr>
              <w:spacing w:after="0"/>
            </w:pPr>
            <w:r>
              <w:rPr>
                <w:sz w:val="18"/>
              </w:rPr>
              <w:t>Nombres completos del equipo, docente, sección y fecha de entrega.</w:t>
            </w:r>
          </w:p>
        </w:tc>
      </w:tr>
    </w:tbl>
    <w:p>
      <w:pPr>
        <w:pStyle w:val="Heading2"/>
      </w:pPr>
      <w:r>
        <w:t>4.2 · Texto reutilizado del informe anterior</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revisar</w:t>
            </w:r>
          </w:p>
        </w:tc>
        <w:tc>
          <w:tcPr>
            <w:tcW w:type="dxa" w:w="8164"/>
          </w:tcPr>
          <w:p>
            <w:pPr>
              <w:spacing w:after="0"/>
            </w:pPr>
            <w:r>
              <w:rPr>
                <w:sz w:val="18"/>
              </w:rPr>
              <w:t>El piloto ahora es de 14 puntos: 8 Horeca y 6 OCS. Si se copia algo del informe de la primera evaluación, revisar que no diga 36 puntos, 20 Horeca ni panaderías en el piloto.</w:t>
            </w:r>
          </w:p>
        </w:tc>
      </w:tr>
    </w:tbl>
    <w:p>
      <w:pPr>
        <w:pStyle w:val="Heading2"/>
      </w:pPr>
      <w:r>
        <w:t>4.3 · Extensión y PDF final</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hacer</w:t>
            </w:r>
          </w:p>
        </w:tc>
        <w:tc>
          <w:tcPr>
            <w:tcW w:type="dxa" w:w="8164"/>
          </w:tcPr>
          <w:p>
            <w:pPr>
              <w:spacing w:after="0"/>
            </w:pPr>
            <w:r>
              <w:rPr>
                <w:sz w:val="18"/>
              </w:rPr>
              <w:t>La pauta pide entre 12 y 15 páginas. Al agregar las piezas del punto 1, compactar. Al final, actualizar el índice (clic derecho sobre el índice → Actualizar campo) y exportar a PDF.</w:t>
            </w:r>
          </w:p>
        </w:tc>
      </w:tr>
    </w:tbl>
    <w:p>
      <w:pPr>
        <w:pStyle w:val="Heading2"/>
      </w:pPr>
      <w:r>
        <w:t>4.4 · Fuentes</w:t>
      </w:r>
    </w:p>
    <w:tbl>
      <w:tblPr>
        <w:tblW w:type="auto" w:w="0"/>
        <w:tblLook w:firstColumn="1" w:firstRow="1" w:lastColumn="0" w:lastRow="0" w:noHBand="0" w:noVBand="1" w:val="04A0"/>
        <w:tblLayout w:type="fixed"/>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70" w:type="dxa"/>
          <w:right w:w="70" w:type="dxa"/>
          <w:top w:w="25" w:type="dxa"/>
          <w:bottom w:w="25" w:type="dxa"/>
        </w:tblCellMar>
      </w:tblPr>
      <w:tblGrid>
        <w:gridCol w:w="5043"/>
        <w:gridCol w:w="5043"/>
      </w:tblGrid>
      <w:tr>
        <w:tc>
          <w:tcPr>
            <w:tcW w:type="dxa" w:w="1928"/>
            <w:shd w:val="clear" w:color="auto" w:fill="F3F1EC"/>
          </w:tcPr>
          <w:p>
            <w:pPr>
              <w:spacing w:after="0"/>
            </w:pPr>
            <w:r>
              <w:rPr>
                <w:b/>
                <w:sz w:val="18"/>
              </w:rPr>
              <w:t>Qué hacer</w:t>
            </w:r>
          </w:p>
        </w:tc>
        <w:tc>
          <w:tcPr>
            <w:tcW w:type="dxa" w:w="8164"/>
          </w:tcPr>
          <w:p>
            <w:pPr>
              <w:spacing w:after="0"/>
            </w:pPr>
            <w:r>
              <w:rPr>
                <w:sz w:val="18"/>
              </w:rPr>
              <w:t>Las fuentes están en Fuentes-Informe-EP3.docx, con enlace y fecha de consulta. Si se agrega una fuente nueva, sumarla ahí con el mismo formato.</w:t>
            </w:r>
          </w:p>
        </w:tc>
      </w:tr>
    </w:tbl>
    <w:p>
      <w:pPr>
        <w:pStyle w:val="Heading1"/>
      </w:pPr>
      <w:r>
        <w:t>5 · Lo ve Ale (presentación)</w:t>
      </w:r>
    </w:p>
    <w:p>
      <w:pPr>
        <w:pStyle w:val="ListBullet"/>
        <w:spacing w:after="40"/>
      </w:pPr>
      <w:r>
        <w:t>Video demo del prototipo para la presentación, como motion graphics hecho con HyperFrames.</w:t>
      </w:r>
    </w:p>
    <w:p>
      <w:pPr>
        <w:pStyle w:val="ListBullet"/>
        <w:spacing w:after="40"/>
      </w:pPr>
      <w:r>
        <w:t>Todo lo que se relacione con la presentación.</w:t>
      </w:r>
    </w:p>
    <w:p>
      <w:pPr>
        <w:pStyle w:val="Heading1"/>
      </w:pPr>
      <w:r>
        <w:t>6 · Para más adelante o fuera del alcance</w:t>
      </w:r>
    </w:p>
    <w:p>
      <w:pPr>
        <w:pStyle w:val="ListBullet"/>
        <w:spacing w:after="40"/>
      </w:pPr>
      <w:r>
        <w:rPr>
          <w:b/>
        </w:rPr>
        <w:t>Costos.</w:t>
      </w:r>
      <w:r>
        <w:t xml:space="preserve"> El costeo de la propuesta, incluidas las plantillas de WhatsApp y las automatizaciones, se trabaja en una etapa posterior. Hoy no se desglosa.</w:t>
      </w:r>
    </w:p>
    <w:p>
      <w:pPr>
        <w:pStyle w:val="ListBullet"/>
        <w:spacing w:after="40"/>
      </w:pPr>
      <w:r>
        <w:rPr>
          <w:b/>
        </w:rPr>
        <w:t>Logística.</w:t>
      </w:r>
      <w:r>
        <w:t xml:space="preserve"> La propuesta no aborda bodegas, centros de distribución, hora de corte, franjas por zona ni operadores de transporte. No investigar ni agregar esos temas.</w:t>
      </w:r>
    </w:p>
    <w:sectPr w:rsidR="00FC693F" w:rsidRPr="0006063C" w:rsidSect="00034616">
      <w:headerReference w:type="default" r:id="rId9"/>
      <w:footerReference w:type="default" r:id="rId10"/>
      <w:pgSz w:w="12240" w:h="15840"/>
      <w:pgMar w:top="1020" w:right="1077" w:bottom="907"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Pendientes del Informe EP3 · Marley Coffee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eastAsia="Calibri" w:cs="Calibri"/>
      <w:b/>
      <w:bCs/>
      <w:color w:val="3B521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eastAsia="Calibri" w:cs="Calibri"/>
      <w:b/>
      <w:bCs/>
      <w:color w:val="1C1C1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