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rtl w:val="0"/>
        </w:rPr>
        <w:t xml:space="preserve">Plan de pruebas </w:t>
      </w:r>
      <w:r w:rsidDel="00000000" w:rsidR="00000000" w:rsidRPr="00000000">
        <w:rPr>
          <w:b w:val="1"/>
          <w:i w:val="1"/>
          <w:rtl w:val="0"/>
        </w:rPr>
        <w:t xml:space="preserve">ISTQB TRAINING FORM</w:t>
      </w:r>
    </w:p>
    <w:p w:rsidR="00000000" w:rsidDel="00000000" w:rsidP="00000000" w:rsidRDefault="00000000" w:rsidRPr="00000000" w14:paraId="00000002">
      <w:pPr>
        <w:jc w:val="center"/>
        <w:rPr>
          <w:b w:val="1"/>
          <w:i w:val="1"/>
        </w:rPr>
      </w:pP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jc w:val="left"/>
        <w:rPr>
          <w:b w:val="1"/>
          <w:i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Objetivo: </w:t>
      </w:r>
      <w:r w:rsidDel="00000000" w:rsidR="00000000" w:rsidRPr="00000000">
        <w:rPr>
          <w:rtl w:val="0"/>
        </w:rPr>
        <w:t xml:space="preserve">En este plan de pruebas el objetivo principal es garantizar la calidad y correcto funcionamiento del formulario ISTQB training para así asegurar el ‘happy path’ del formulario.</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Alcance: </w:t>
      </w:r>
      <w:r w:rsidDel="00000000" w:rsidR="00000000" w:rsidRPr="00000000">
        <w:rPr>
          <w:rtl w:val="0"/>
        </w:rPr>
        <w:t xml:space="preserve">Solo se comprobará la funcionalidad del formulario mencionado anteriormente mediante la realización de pruebas funcionales y de caja negra con el fin de identificar posibles fallos o bugs. Los casos de prueba se diseñarán con base en la documentación suministrada por el cliente (trainers). Cualquier otro proceso de comprobación ageno al funcionamiento del formulario tales como el menú de navegación superior o el responsive, estan por fuera del scope de este plan de pruebas. </w:t>
      </w: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b w:val="1"/>
          <w:rtl w:val="0"/>
        </w:rPr>
        <w:t xml:space="preserve">Elementos de prueba: </w:t>
      </w:r>
      <w:r w:rsidDel="00000000" w:rsidR="00000000" w:rsidRPr="00000000">
        <w:rPr>
          <w:rtl w:val="0"/>
        </w:rPr>
        <w:t xml:space="preserve">Formulario del ISTQB Training el cual incluye,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Comprobación de campos requeridos. </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Validación de los valores ingresados (Número, email, texto, etc.)</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Envío del formulario con los valores requeridos </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Comprobación de valores límites</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Mensaje de confirmación del envío </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Estrategia: </w:t>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numPr>
          <w:ilvl w:val="0"/>
          <w:numId w:val="2"/>
        </w:numPr>
        <w:ind w:left="720" w:hanging="360"/>
        <w:jc w:val="left"/>
        <w:rPr/>
      </w:pPr>
      <w:r w:rsidDel="00000000" w:rsidR="00000000" w:rsidRPr="00000000">
        <w:rPr>
          <w:rtl w:val="0"/>
        </w:rPr>
        <w:t xml:space="preserve">Ejecutar pruebas exploratorias ya que no se tiene la suficiente documentación para conocer en su totalidad el formulario.</w:t>
      </w:r>
    </w:p>
    <w:p w:rsidR="00000000" w:rsidDel="00000000" w:rsidP="00000000" w:rsidRDefault="00000000" w:rsidRPr="00000000" w14:paraId="00000017">
      <w:pPr>
        <w:numPr>
          <w:ilvl w:val="0"/>
          <w:numId w:val="2"/>
        </w:numPr>
        <w:ind w:left="720" w:hanging="360"/>
        <w:jc w:val="left"/>
        <w:rPr>
          <w:u w:val="none"/>
        </w:rPr>
      </w:pPr>
      <w:r w:rsidDel="00000000" w:rsidR="00000000" w:rsidRPr="00000000">
        <w:rPr>
          <w:rtl w:val="0"/>
        </w:rPr>
        <w:t xml:space="preserve">Realizar pruebas de caja negra  para probar los happy paths, si los happy paths no funcionan, se devolverá la tarea al implementador</w:t>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Entorno de pruebas: </w:t>
      </w:r>
    </w:p>
    <w:p w:rsidR="00000000" w:rsidDel="00000000" w:rsidP="00000000" w:rsidRDefault="00000000" w:rsidRPr="00000000" w14:paraId="0000001B">
      <w:pPr>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HubSpot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ASUS TUF GamingF15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Windows 11 Home Single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ASUS TUF GamingF15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117.0.5938.150 (Official Build) (64-bit)</w:t>
            </w:r>
          </w:p>
        </w:tc>
      </w:tr>
    </w:tbl>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b w:val="1"/>
          <w:rtl w:val="0"/>
        </w:rPr>
        <w:t xml:space="preserve">Equipo de trabajo: </w:t>
      </w:r>
    </w:p>
    <w:p w:rsidR="00000000" w:rsidDel="00000000" w:rsidP="00000000" w:rsidRDefault="00000000" w:rsidRPr="00000000" w14:paraId="0000002C">
      <w:pPr>
        <w:jc w:val="left"/>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Melán Giraldo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0000ee"/>
                  <w:u w:val="single"/>
                  <w:shd w:fill="auto" w:val="clear"/>
                  <w:rtl w:val="0"/>
                </w:rPr>
                <w:t xml:space="preserve">Nataliia Vakhnina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Trainer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Alejandro Hernádez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QA Trainer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shd w:fill="auto" w:val="clear"/>
                  <w:rtl w:val="0"/>
                </w:rPr>
                <w:t xml:space="preserve">Ester Soto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QA Team Lead</w:t>
            </w:r>
          </w:p>
        </w:tc>
      </w:tr>
    </w:tbl>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Matriz de riesgos: </w:t>
      </w:r>
    </w:p>
    <w:p w:rsidR="00000000" w:rsidDel="00000000" w:rsidP="00000000" w:rsidRDefault="00000000" w:rsidRPr="00000000" w14:paraId="0000003A">
      <w:pPr>
        <w:jc w:val="left"/>
        <w:rPr>
          <w:b w:val="1"/>
        </w:rPr>
      </w:pPr>
      <w:r w:rsidDel="00000000" w:rsidR="00000000" w:rsidRPr="00000000">
        <w:rPr>
          <w:b w:val="1"/>
        </w:rPr>
        <w:drawing>
          <wp:inline distB="114300" distT="114300" distL="114300" distR="114300">
            <wp:extent cx="5943600" cy="787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taliia.vakhnina@onthefuze.com.au" TargetMode="External"/><Relationship Id="rId7" Type="http://schemas.openxmlformats.org/officeDocument/2006/relationships/hyperlink" Target="mailto:ester.soto@onthefuze.com.au"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