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60" w:before="0"/>
        <w:jc w:val="center"/>
      </w:pPr>
      <w:r>
        <w:rPr>
          <w:rFonts w:ascii="Arial" w:cs="Arial" w:eastAsia="Arial" w:hAnsi="Arial"/>
          <w:b/>
          <w:bCs/>
          <w:color w:val="1B3A6B"/>
          <w:sz w:val="52"/>
          <w:szCs w:val="52"/>
        </w:rPr>
        <w:t xml:space="preserve">PLAN DE GESTIÓN DEL PROYECTO</w:t>
      </w:r>
    </w:p>
    <w:p>
      <w:pPr>
        <w:spacing w:after="20" w:before="20"/>
        <w:jc w:val="center"/>
      </w:pPr>
      <w:r>
        <w:rPr>
          <w:rFonts w:ascii="Arial" w:cs="Arial" w:eastAsia="Arial" w:hAnsi="Arial"/>
          <w:i/>
          <w:iCs/>
          <w:color w:val="2471A3"/>
          <w:sz w:val="30"/>
          <w:szCs w:val="30"/>
        </w:rPr>
        <w:t xml:space="preserve">TeleSalud Rural Colombia — Aplicación Móvil de Telemedicina para Zonas Rurales</w:t>
      </w:r>
    </w:p>
    <w:p>
      <w:pPr>
        <w:spacing w:after="0" w:before="60"/>
      </w:pPr>
      <w:r>
        <w:t xml:space="preserve"/>
      </w:r>
    </w:p>
    <w:p>
      <w:pPr>
        <w:pBdr>
          <w:bottom w:val="single" w:color="2471A3" w:sz="8" w:space="2"/>
        </w:pBdr>
        <w:jc w:val="center"/>
      </w:pPr>
      <w:r>
        <w:rPr>
          <w:rFonts w:ascii="Arial" w:cs="Arial" w:eastAsia="Arial" w:hAnsi="Arial"/>
          <w:sz w:val="22"/>
          <w:szCs w:val="22"/>
        </w:rP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INFORMACIÓN GENERAL DEL PROYECTO</w:t>
            </w:r>
          </w:p>
        </w:tc>
      </w:tr>
      <w:tr>
        <w:tc>
          <w:tcPr>
            <w:tcW w:type="dxa" w:w="3200"/>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Nombre del Proyecto</w:t>
            </w:r>
          </w:p>
        </w:tc>
        <w:tc>
          <w:tcPr>
            <w:tcW w:type="dxa" w:w="6160"/>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TeleSalud Rural Colombia — App Móvil de Telemedicina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Código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PRJ-TSRC-2025-001</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Organización Patrocinadora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HealthConnect S.A.S. — Innovación en Salud Digital</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Gerente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Alejandro De Mendoza, PMP®</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Patrocinador (Sponsor)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Jose David Cubillos Parra e Ing. Orlando Garzon Ramos — Directores de Innovación en Salud</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Fecha de Inicio Planificada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05 de mayo de 2025</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Fecha de Finalización Planificada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31 de octubre de 2025 (26 semanas)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Versión del Documento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v1.0 — Línea Base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Clasificación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Confidencial — Uso Interno</w:t>
            </w:r>
          </w:p>
        </w:tc>
      </w:tr>
    </w:tbl>
    <w:p>
      <w:pPr>
        <w:spacing w:after="0" w:before="800"/>
      </w:pPr>
      <w:r>
        <w:t xml:space="preserve"/>
      </w:r>
    </w:p>
    <w:p>
      <w:r>
        <w:br/>
        <w:t xml:space="preserve"/>
      </w:r>
    </w:p>
    <w:p>
      <w:pPr>
        <w:pStyle w:val="Heading1"/>
        <w:shd w:fill="1B3A6B" w:val="clear"/>
        <w:spacing w:after="120" w:before="280"/>
        <w:ind w:left="200" w:right="200"/>
      </w:pPr>
      <w:r>
        <w:rPr>
          <w:rFonts w:ascii="Arial" w:cs="Arial" w:eastAsia="Arial" w:hAnsi="Arial"/>
          <w:b/>
          <w:bCs/>
          <w:color w:val="FFFFFF"/>
          <w:sz w:val="32"/>
          <w:szCs w:val="32"/>
        </w:rPr>
        <w:t xml:space="preserve">CAPÍTULO 1. ACTA DE CONSTITUCIÓN DEL PROYECTO</w:t>
      </w:r>
    </w:p>
    <w:p>
      <w:pPr>
        <w:spacing w:after="0" w:before="60"/>
      </w:pPr>
      <w:r>
        <w:t xml:space="preserve"/>
      </w:r>
    </w:p>
    <w:p>
      <w:pPr>
        <w:spacing w:after="60" w:before="60"/>
        <w:jc w:val="both"/>
      </w:pPr>
      <w:r>
        <w:rPr>
          <w:rFonts w:ascii="Arial" w:cs="Arial" w:eastAsia="Arial" w:hAnsi="Arial"/>
          <w:sz w:val="22"/>
          <w:szCs w:val="22"/>
        </w:rPr>
        <w:t xml:space="preserve">El presente Acta de Constitución (Project Charter) formaliza la autorización oficial para el inicio del proyecto TeleSalud Rural Colombia y otorga al Gerente del Proyecto la autoridad necesaria para asignar recursos organizacionales. Este documento ha sido elaborado siguiendo los lineamientos del Project Management Institute (PMI®) y la Guía PMBOK® Séptima Edición, garantizando un enfoque estructurado y alineado con las mejores prácticas internacionales de dirección de proyectos.</w:t>
      </w:r>
    </w:p>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1.1  Propósito y Justificación del Proyecto</w:t>
      </w:r>
    </w:p>
    <w:p>
      <w:pPr>
        <w:spacing w:after="0" w:before="40"/>
      </w:pPr>
      <w:r>
        <w:t xml:space="preserve"/>
      </w:r>
    </w:p>
    <w:p>
      <w:pPr>
        <w:spacing w:after="60" w:before="60"/>
        <w:jc w:val="both"/>
      </w:pPr>
      <w:r>
        <w:rPr>
          <w:rFonts w:ascii="Arial" w:cs="Arial" w:eastAsia="Arial" w:hAnsi="Arial"/>
          <w:sz w:val="22"/>
          <w:szCs w:val="22"/>
        </w:rPr>
        <w:t xml:space="preserve">El proyecto TeleSalud Rural Colombia surge como respuesta a una de las brechas más críticas del sistema de salud colombiano: la inequidad en el acceso a servicios médicos en zonas rurales y apartadas del país. Según el Ministerio de Salud y Protección Social de Colombia (2024), el 35% de la población rural colombiana —aproximadamente 5,2 millones de personas— no tiene acceso oportuno a atención médica primaria debido a la dispersión geográfica, la ausencia de infraestructura hospitalaria y la escasez de profesionales de salud en municipios alejados de los centros urbanos.</w:t>
      </w:r>
    </w:p>
    <w:p>
      <w:pPr>
        <w:spacing w:after="0" w:before="60"/>
      </w:pPr>
      <w:r>
        <w:t xml:space="preserve"/>
      </w:r>
    </w:p>
    <w:p>
      <w:pPr>
        <w:spacing w:after="60" w:before="60"/>
        <w:jc w:val="both"/>
      </w:pPr>
      <w:r>
        <w:rPr>
          <w:rFonts w:ascii="Arial" w:cs="Arial" w:eastAsia="Arial" w:hAnsi="Arial"/>
          <w:sz w:val="22"/>
          <w:szCs w:val="22"/>
        </w:rPr>
        <w:t xml:space="preserve">Esta situación genera consecuencias graves: enfermedades prevenibles que se detectan tardíamente, mortalidad materna elevada en municipios rurales (87 muertes por cada 100.000 nacidos vivos, frente a 32 en zonas urbanas), y una carga desproporcionada sobre los sistemas de referencia y traslado de pacientes. La telemedicina representa una solución probada internacionalmente para reducir estas brechas, y Colombia cuenta con el marco legal necesario a través de la Resolución 2654 de 2019 del MinSalud, que regula la prestación de servicios de salud mediante tecnologías digitales.</w:t>
      </w:r>
    </w:p>
    <w:p>
      <w:pPr>
        <w:spacing w:after="0" w:before="60"/>
      </w:pPr>
      <w:r>
        <w:t xml:space="preserve"/>
      </w:r>
    </w:p>
    <w:p>
      <w:pPr>
        <w:spacing w:after="60" w:before="60"/>
        <w:jc w:val="both"/>
      </w:pPr>
      <w:r>
        <w:rPr>
          <w:rFonts w:ascii="Arial" w:cs="Arial" w:eastAsia="Arial" w:hAnsi="Arial"/>
          <w:b/>
          <w:bCs/>
          <w:sz w:val="22"/>
          <w:szCs w:val="22"/>
        </w:rPr>
        <w:t xml:space="preserve">El proyecto fue evaluado y seleccionado desde tres perspectivas complementarias: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000"/>
        <w:gridCol w:w="1760"/>
      </w:tblGrid>
      <w:tr>
        <w:tc>
          <w:tcPr>
            <w:tcW w:type="dxa" w:w="1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Perspectiva</w:t>
            </w:r>
          </w:p>
        </w:tc>
        <w:tc>
          <w:tcPr>
            <w:tcW w:type="dxa" w:w="2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Criterio de Selección</w:t>
            </w:r>
          </w:p>
        </w:tc>
        <w:tc>
          <w:tcPr>
            <w:tcW w:type="dxa" w:w="4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Evidencia y Justificación</w:t>
            </w:r>
          </w:p>
        </w:tc>
        <w:tc>
          <w:tcPr>
            <w:tcW w:type="dxa" w:w="17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Decisión</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Estratégica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Alineación con la política pública de salud digital y telemedicina del gobierno colombiano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CONPES 3975 de 2019 (Política Nacional para la Transformación Digital) y el Plan Decenal de Salud Pública 2022–2031 priorizan la adopción de telemedicina para reducir inequidades. HealthConnect S.A.S. se posiciona como referente nacional en salud digital rural, con potencial de expansión a Ecuador y Perú.</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SELECCIONADO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Social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Impacto directo en equidad en salud y reducción de mortalidad prevenible en zonas rurales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 estima beneficiar a 120.000 pacientes en 15 municipios rurales de Nariño, Chocó y Vichada en el primer año. Reduce desplazamientos de pacientes hasta en un 60%, disminuye costos de traslado y mejora la oportunidad diagnóstica. Impacto directo en ODS 3 (Salud y Bienestar).</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SELECCIONADO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Financiera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Retorno de inversión y sostenibilidad mediante modelo B2G y B2B con EPS e instituciones del Estado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Modelo de negocio basado en contratos con EPS del régimen subsidiado y convenios con alcaldías municipales. Proyección de break-even en el mes 10 post-lanzamiento. ROI estimado del 120% al cierre del primer año fiscal. Potencial de contrato con el Ministerio de Salud para escalamiento nacional.</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SELECCIONADO</w:t>
            </w:r>
          </w:p>
        </w:tc>
      </w:tr>
    </w:tbl>
    <w:p>
      <w:pPr>
        <w:spacing w:after="0" w:before="80"/>
      </w:pPr>
      <w:r>
        <w:t xml:space="preserve"/>
      </w:r>
    </w:p>
    <w:p>
      <w:pPr>
        <w:spacing w:after="60" w:before="60"/>
        <w:jc w:val="both"/>
      </w:pPr>
      <w:r>
        <w:rPr>
          <w:rFonts w:ascii="Arial" w:cs="Arial" w:eastAsia="Arial" w:hAnsi="Arial"/>
          <w:sz w:val="22"/>
          <w:szCs w:val="22"/>
        </w:rPr>
        <w:t xml:space="preserve">El proyecto fue aprobado bajo criterio mixto (estratégico-social-financiero), priorizando el impacto social y el alineamiento con la política pública de salud en el corto plazo, con proyección de autosostenibilidad financiera en el mediano plazo. Esta decisión fue validada mediante el análisis de la Matriz de Selección de Proyectos por Puntaje Ponderado aplicada por el Comité de Portafolio de HealthConnect S.A.S. en sesión del 10 de abril de 2025.</w:t>
      </w:r>
    </w:p>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1.2  Descripción del Proyecto y Entregables</w:t>
      </w:r>
    </w:p>
    <w:p>
      <w:pPr>
        <w:spacing w:after="0" w:before="40"/>
      </w:pPr>
      <w:r>
        <w:t xml:space="preserve"/>
      </w:r>
    </w:p>
    <w:p>
      <w:pPr>
        <w:spacing w:after="60" w:before="60"/>
        <w:jc w:val="both"/>
      </w:pPr>
      <w:r>
        <w:rPr>
          <w:rFonts w:ascii="Arial" w:cs="Arial" w:eastAsia="Arial" w:hAnsi="Arial"/>
          <w:sz w:val="22"/>
          <w:szCs w:val="22"/>
        </w:rPr>
        <w:t xml:space="preserve">TeleSalud Rural Colombia es una aplicación móvil multiplataforma (Android e iOS) diseñada para facilitar la prestación de servicios de telemedicina en municipios rurales y zonas de difícil acceso geográfico en Colombia. La plataforma conectará a pacientes de zonas rurales con médicos generales y especialistas ubicados en centros urbanos, permitiendo realizar consultas médicas sincrónicas por videollamada, consultas asincrónicas mediante mensajería clínica estructurada, seguimiento de condiciones crónicas, y gestión de remisiones y prescripciones digitales.</w:t>
      </w:r>
    </w:p>
    <w:p>
      <w:pPr>
        <w:spacing w:after="0" w:before="60"/>
      </w:pPr>
      <w:r>
        <w:t xml:space="preserve"/>
      </w:r>
    </w:p>
    <w:p>
      <w:pPr>
        <w:spacing w:after="60" w:before="60"/>
        <w:jc w:val="both"/>
      </w:pPr>
      <w:r>
        <w:rPr>
          <w:rFonts w:ascii="Arial" w:cs="Arial" w:eastAsia="Arial" w:hAnsi="Arial"/>
          <w:sz w:val="22"/>
          <w:szCs w:val="22"/>
        </w:rPr>
        <w:t xml:space="preserve">La aplicación ha sido diseñada para operar en condiciones de baja conectividad, aprovechando funcionalidades offline y sincronización diferida, lo cual es crítico para su viabilidad en zonas rurales colombianas donde la cobertura de internet móvil es intermitente o limitada.</w:t>
      </w:r>
    </w:p>
    <w:p>
      <w:pPr>
        <w:spacing w:after="0" w:before="60"/>
      </w:pPr>
      <w:r>
        <w:t xml:space="preserve"/>
      </w:r>
    </w:p>
    <w:p>
      <w:pPr>
        <w:spacing w:after="60" w:before="60"/>
        <w:jc w:val="both"/>
      </w:pPr>
      <w:r>
        <w:rPr>
          <w:rFonts w:ascii="Arial" w:cs="Arial" w:eastAsia="Arial" w:hAnsi="Arial"/>
          <w:b/>
          <w:bCs/>
          <w:sz w:val="22"/>
          <w:szCs w:val="22"/>
        </w:rPr>
        <w:t xml:space="preserve">Descripción técnica de la solución:</w:t>
      </w:r>
    </w:p>
    <w:p>
      <w:pPr>
        <w:spacing w:after="0" w:before="30"/>
      </w:pPr>
      <w:r>
        <w:t xml:space="preserve"/>
      </w:r>
    </w:p>
    <w:p>
      <w:pPr>
        <w:pStyle w:val="ListParagraph"/>
        <w:numPr>
          <w:ilvl w:val="0"/>
          <w:numId w:val="2"/>
        </w:numPr>
        <w:spacing w:after="40" w:before="40"/>
      </w:pPr>
      <w:r>
        <w:rPr>
          <w:rFonts w:ascii="Arial" w:cs="Arial" w:eastAsia="Arial" w:hAnsi="Arial"/>
          <w:sz w:val="22"/>
          <w:szCs w:val="22"/>
        </w:rPr>
        <w:t xml:space="preserve">App móvil: React Native (Android e iOS) con soporte offline y sincronización diferida</w:t>
      </w:r>
    </w:p>
    <w:p>
      <w:pPr>
        <w:pStyle w:val="ListParagraph"/>
        <w:numPr>
          <w:ilvl w:val="0"/>
          <w:numId w:val="2"/>
        </w:numPr>
        <w:spacing w:after="40" w:before="40"/>
      </w:pPr>
      <w:r>
        <w:rPr>
          <w:rFonts w:ascii="Arial" w:cs="Arial" w:eastAsia="Arial" w:hAnsi="Arial"/>
          <w:sz w:val="22"/>
          <w:szCs w:val="22"/>
        </w:rPr>
        <w:t xml:space="preserve">Backend: API REST en Node.js con Express, base de datos PostgreSQL cifrada</w:t>
      </w:r>
    </w:p>
    <w:p>
      <w:pPr>
        <w:pStyle w:val="ListParagraph"/>
        <w:numPr>
          <w:ilvl w:val="0"/>
          <w:numId w:val="2"/>
        </w:numPr>
        <w:spacing w:after="40" w:before="40"/>
      </w:pPr>
      <w:r>
        <w:rPr>
          <w:rFonts w:ascii="Arial" w:cs="Arial" w:eastAsia="Arial" w:hAnsi="Arial"/>
          <w:sz w:val="22"/>
          <w:szCs w:val="22"/>
        </w:rPr>
        <w:t xml:space="preserve">Videollamadas: WebRTC con servidor TURN/STUN para conectividad en redes de baja calidad</w:t>
      </w:r>
    </w:p>
    <w:p>
      <w:pPr>
        <w:pStyle w:val="ListParagraph"/>
        <w:numPr>
          <w:ilvl w:val="0"/>
          <w:numId w:val="2"/>
        </w:numPr>
        <w:spacing w:after="40" w:before="40"/>
      </w:pPr>
      <w:r>
        <w:rPr>
          <w:rFonts w:ascii="Arial" w:cs="Arial" w:eastAsia="Arial" w:hAnsi="Arial"/>
          <w:sz w:val="22"/>
          <w:szCs w:val="22"/>
        </w:rPr>
        <w:t xml:space="preserve">Historia clínica digital: Módulo FHIR-compatible para interoperabilidad con sistemas existentes</w:t>
      </w:r>
    </w:p>
    <w:p>
      <w:pPr>
        <w:pStyle w:val="ListParagraph"/>
        <w:numPr>
          <w:ilvl w:val="0"/>
          <w:numId w:val="2"/>
        </w:numPr>
        <w:spacing w:after="40" w:before="40"/>
      </w:pPr>
      <w:r>
        <w:rPr>
          <w:rFonts w:ascii="Arial" w:cs="Arial" w:eastAsia="Arial" w:hAnsi="Arial"/>
          <w:sz w:val="22"/>
          <w:szCs w:val="22"/>
        </w:rPr>
        <w:t xml:space="preserve">Infraestructura: AWS GovCloud (EC2, RDS, S3, CloudFront) con certificación de seguridad en salud</w:t>
      </w:r>
    </w:p>
    <w:p>
      <w:pPr>
        <w:pStyle w:val="ListParagraph"/>
        <w:numPr>
          <w:ilvl w:val="0"/>
          <w:numId w:val="2"/>
        </w:numPr>
        <w:spacing w:after="40" w:before="40"/>
      </w:pPr>
      <w:r>
        <w:rPr>
          <w:rFonts w:ascii="Arial" w:cs="Arial" w:eastAsia="Arial" w:hAnsi="Arial"/>
          <w:sz w:val="22"/>
          <w:szCs w:val="22"/>
        </w:rPr>
        <w:t xml:space="preserve">Autenticación: JWT + biometría (huella dactilar) + verificación de identidad digital (Cédula Digital)</w:t>
      </w:r>
    </w:p>
    <w:p>
      <w:pPr>
        <w:pStyle w:val="ListParagraph"/>
        <w:numPr>
          <w:ilvl w:val="0"/>
          <w:numId w:val="2"/>
        </w:numPr>
        <w:spacing w:after="40" w:before="40"/>
      </w:pPr>
      <w:r>
        <w:rPr>
          <w:rFonts w:ascii="Arial" w:cs="Arial" w:eastAsia="Arial" w:hAnsi="Arial"/>
          <w:sz w:val="22"/>
          <w:szCs w:val="22"/>
        </w:rPr>
        <w:t xml:space="preserve">Notificaciones: FCM (Firebase Cloud Messaging) para alertas de citas y seguimiento</w:t>
      </w:r>
    </w:p>
    <w:p>
      <w:pPr>
        <w:spacing w:after="0" w:before="60"/>
      </w:pPr>
      <w:r>
        <w:t xml:space="preserve"/>
      </w:r>
    </w:p>
    <w:p>
      <w:pPr>
        <w:spacing w:after="60" w:before="60"/>
        <w:jc w:val="both"/>
      </w:pPr>
      <w:r>
        <w:rPr>
          <w:rFonts w:ascii="Arial" w:cs="Arial" w:eastAsia="Arial" w:hAnsi="Arial"/>
          <w:b/>
          <w:bCs/>
          <w:sz w:val="22"/>
          <w:szCs w:val="22"/>
        </w:rPr>
        <w:t xml:space="preserve">Estructura de entregables del proyecto: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00"/>
        <w:gridCol w:w="2760"/>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w:t>
            </w:r>
          </w:p>
        </w:tc>
        <w:tc>
          <w:tcPr>
            <w:tcW w:type="dxa" w:w="2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Entregable</w:t>
            </w:r>
          </w:p>
        </w:tc>
        <w:tc>
          <w:tcPr>
            <w:tcW w:type="dxa" w:w="36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Descripción</w:t>
            </w:r>
          </w:p>
        </w:tc>
        <w:tc>
          <w:tcPr>
            <w:tcW w:type="dxa" w:w="27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Criterio de Aceptación</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Documento de Arquitectura y Diseño del Sistema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Especificaciones técnicas completas: arquitectura de microservicios, modelo de datos clínicos (FHIR), diagramas UML, decisiones de diseño, stack tecnológico y protocolo de seguridad de datos de salud.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Aprobación del CTO, Gerente de Proyecto y validación de cumplimiento Resolución 2654/2019.</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Prototipo de Alta Fidelidad (UI/UX)</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Mockups interactivos en Figma de todos los flujos: registro de paciente, consulta por videollamada, historia clínica, prescripción digital, seguimiento de crónicos y panel médico.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Validación con 15 usuarios (8 pacientes rurales + 7 médicos) y aprobación del sponsor.</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Módulo de Telemedicina Sincrónica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Sistema de videoconsulta médica con sala de espera virtual, compartición de documentos clínicos en tiempo real, grabación opcional (con consentimiento) y funcionalidad de baja conectividad.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0 errores críticos; latencia de video &lt; 500ms en red 3G; disponibilidad ≥ 99%.</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Módulo de Historia Clínica Digital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Sistema de registro, consulta y actualización de historia clínica digital del paciente, compatible con estándar FHIR R4, con gestión de prescripciones y remisiones digitales.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Validación por médico certificado; cumplimiento FHIR R4; aprobación auditoría de seguridad.</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Aplicación Móvil Funcional (versión beta)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App completamente funcional en Android e iOS con todos los módulos integrados: telemedicina, historia clínica, notificaciones, modo offline y autenticación biométrica.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0 errores críticos; ≤ 5 errores menores; funcionalidad offline verificada en zona sin red.</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Resultados del Piloto con Usuarios Reales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Informe del piloto ejecutado en 2 municipios de Nariño con 200 pacientes y 10 médicos: métricas de uso, satisfacción, incidentes técnicos y recomendaciones de mejora.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NPS ≥ 45; satisfacción médicos ≥ 4.2/5.0; satisfacción pacientes ≥ 4.0/5.0; 0 incidentes de seguridad de datos.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Aplicación en Producción (v1.0)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Versión estable desplegada en producción AWS GovCloud, con integración de mejoras del piloto, habilitada para los 15 municipios objetivo, con soporte técnico operativo.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Disponibilidad ≥ 99.5% en primeros 30 días; aprobación MinSalud para operación; UAT superado.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Documentación Técnica y Manual de Operación</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Manual de administrador, documentación API, guía de despliegue AWS, runbooks, protocolo de atención en telemedicina y manual de usuario para médicos y pacientes.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Validación por equipo técnico receptor y médicos líderes; sin hallazgos críticos de auditoría.</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1.3  Requerimientos de Alto Nivel</w:t>
      </w:r>
    </w:p>
    <w:p>
      <w:pPr>
        <w:spacing w:after="0" w:before="40"/>
      </w:pPr>
      <w:r>
        <w:t xml:space="preserve"/>
      </w:r>
    </w:p>
    <w:p>
      <w:pPr>
        <w:spacing w:after="60" w:before="60"/>
        <w:jc w:val="both"/>
      </w:pPr>
      <w:r>
        <w:rPr>
          <w:rFonts w:ascii="Arial" w:cs="Arial" w:eastAsia="Arial" w:hAnsi="Arial"/>
          <w:i/>
          <w:iCs/>
          <w:sz w:val="22"/>
          <w:szCs w:val="22"/>
        </w:rPr>
        <w:t xml:space="preserve">A continuación se presentan los requerimientos de alto nivel clasificados en dos categorías: los del proyecto (cómo se debe gestionar y ejecutar) y los del producto (qué debe hacer y cómo debe comportarse la aplicación).</w:t>
      </w:r>
    </w:p>
    <w:p>
      <w:pPr>
        <w:spacing w:after="0" w:before="60"/>
      </w:pPr>
      <w:r>
        <w:t xml:space="preserve"/>
      </w:r>
    </w:p>
    <w:p>
      <w:pPr>
        <w:spacing w:after="60" w:before="60"/>
        <w:jc w:val="both"/>
      </w:pPr>
      <w:r>
        <w:rPr>
          <w:rFonts w:ascii="Arial" w:cs="Arial" w:eastAsia="Arial" w:hAnsi="Arial"/>
          <w:b/>
          <w:bCs/>
          <w:sz w:val="22"/>
          <w:szCs w:val="22"/>
        </w:rPr>
        <w:t xml:space="preserve">A. Requerimientos de Alto Nivel del PROYECTO</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100"/>
        <w:gridCol w:w="3960"/>
      </w:tblGrid>
      <w:tr>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w:t>
            </w:r>
          </w:p>
        </w:tc>
        <w:tc>
          <w:tcPr>
            <w:tcW w:type="dxa" w:w="36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Requerimiento</w:t>
            </w:r>
          </w:p>
        </w:tc>
        <w:tc>
          <w:tcPr>
            <w:tcW w:type="dxa" w:w="11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Prioridad</w:t>
            </w:r>
          </w:p>
        </w:tc>
        <w:tc>
          <w:tcPr>
            <w:tcW w:type="dxa" w:w="39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Área de Conocimiento PMI</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RNP-01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proyecto debe completarse en un plazo máximo de 26 semanas calendario, con fecha límite el 31 de octubre de 2025.</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ALTA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Gestión del Cronograma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RNP-02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presupuesto total no debe superar COP $320.000.000, incluyendo reserva de contingencia del 10%.</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ALTA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Gestión de Costos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RNP-03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equipo debe incluir perfiles especializados: desarrolladores móviles, médico consultor, experto en seguridad de datos de salud, diseñador UX y QA tester.</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ALTA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Gestión de los Recursos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RNP-04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 debe utilizar metodología híbrida (PMI para gobernanza + Scrum para desarrollo) con sprints de 2 semanas.</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MEDIA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Gestión de la Integración</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RNP-05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Toda variación superior al 5% en costo o al 3% en cronograma debe pasar por el Comité de Control de Cambios (CCC).</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ALTA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Gestión de la Integración</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RNP-06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proyecto debe cumplir con la Resolución 2654/2019 del MinSalud y la Ley 1581/2012 de protección de datos.</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ALTA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Gestión de la Calidad / Legal</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RNP-07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plan de comunicaciones debe garantizar reuniones semanales de seguimiento y reportes quincenales al sponsor.</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MEDIA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Gestión de las Comunicaciones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RNP-08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 debe realizar gestión activa de riesgos con revisión del registro en cada reunión de seguimiento semanal.</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ALTA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Gestión de los Riesgos</w:t>
            </w:r>
          </w:p>
        </w:tc>
      </w:tr>
    </w:tbl>
    <w:p>
      <w:pPr>
        <w:spacing w:after="0" w:before="80"/>
      </w:pPr>
      <w:r>
        <w:t xml:space="preserve"/>
      </w:r>
    </w:p>
    <w:p>
      <w:pPr>
        <w:spacing w:after="60" w:before="60"/>
        <w:jc w:val="both"/>
      </w:pPr>
      <w:r>
        <w:rPr>
          <w:rFonts w:ascii="Arial" w:cs="Arial" w:eastAsia="Arial" w:hAnsi="Arial"/>
          <w:b/>
          <w:bCs/>
          <w:sz w:val="22"/>
          <w:szCs w:val="22"/>
        </w:rPr>
        <w:t xml:space="preserve">B. Requerimientos de Alto Nivel del PRODUCTO</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600"/>
        <w:gridCol w:w="1000"/>
        <w:gridCol w:w="2660"/>
      </w:tblGrid>
      <w:tr>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w:t>
            </w:r>
          </w:p>
        </w:tc>
        <w:tc>
          <w:tcPr>
            <w:tcW w:type="dxa" w:w="3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Requerimiento</w:t>
            </w:r>
          </w:p>
        </w:tc>
        <w:tc>
          <w:tcPr>
            <w:tcW w:type="dxa" w:w="16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Categoría</w:t>
            </w:r>
          </w:p>
        </w:tc>
        <w:tc>
          <w:tcPr>
            <w:tcW w:type="dxa" w:w="1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Prioridad</w:t>
            </w:r>
          </w:p>
        </w:tc>
        <w:tc>
          <w:tcPr>
            <w:tcW w:type="dxa" w:w="26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Métrica de Aceptación</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RNPR-01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app debe soportar videoconsultas médicas con calidad de video y audio aceptable en redes 3G (mínimo 500 kbps).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Funcional / Técnico</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ALTA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 en red 3G simulada: video estable ≥ 90% del tiempo de consulta.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RNPR-02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Debe funcionar en modo offline para registro de síntomas, consulta de historia clínica y agendamiento, sincronizando al recuperar conectividad.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Funcional / Offline</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ALTA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 sin red: 100% de funciones offline operativas; sincronización exitosa al reconectar.</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RNPR-03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historia clínica digital debe ser compatible con el estándar HL7 FHIR R4 para interoperabilidad con sistemas de salud existentes.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Interoperabilidad</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ALTA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Validación técnica FHIR R4 por médico informático; exportación/importación exitosa de registros.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RNPR-04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Los datos de salud deben estar cifrados en reposo (AES-256) y en tránsito (TLS 1.3), cumpliendo con la Ley 1581/2012 y Resolución 2654/2019.</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Seguridad / Legal</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ALTA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Auditoría de seguridad aprobada; 0 vulnerabilidades críticas; certificado de cumplimiento normativo.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RNPR-05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app debe estar disponible en español y debe ser usable por personas con baja alfabetización digital, con interfaz simplificada para pacientes rurales.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UX / Accesibilidad</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ALTA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 de usabilidad con 10 pacientes rurales; tasa de completitud de tareas ≥ 85%.</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RNPR-06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tiempo de carga de la app no debe superar 5 segundos en red 3G y 2 segundos en red 4G o WiFi.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Rendimiento</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ALTA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 de rendimiento en condiciones de red controladas; resultados dentro de umbrales definidos.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RNPR-07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sistema debe soportar al menos 300 consultas simultáneas sin degradación del servicio de videollamada.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Escalabilidad</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MEDIA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 de carga con Apache JMeter; 300 sesiones concurrentes sin caídas ni latencia &gt; 800ms.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RNPR-08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Debe incluir un módulo de seguimiento de pacientes crónicos (hipertensión, diabetes) con alertas automáticas al médico tratante.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Funcional / Clínico</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ALTA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Validación clínica por médico consultor; alertas generadas en 100% de casos que superen umbrales.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RNPR-09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prescripción digital debe generar un documento con firma digital del médico, válido para dispensación en farmacias habilitadas.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Funcional / Legal</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ALTA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Validación jurídica; prueba de dispensación exitosa en 3 farmacias habilitadas del piloto.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RNPR-10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app debe estar disponible en Play Store y App Store, con actualizaciones silenciosas sin interrupción del servicio.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Distribución</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MEDIA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Publicación exitosa en ambas tiendas; proceso de actualización OTA verificado sin pérdida de datos.</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1.4  Objetivos Medibles del Proyecto y Criterios de Éxito</w:t>
      </w:r>
    </w:p>
    <w:p>
      <w:pPr>
        <w:spacing w:after="0" w:before="40"/>
      </w:pPr>
      <w:r>
        <w:t xml:space="preserve"/>
      </w:r>
    </w:p>
    <w:p>
      <w:pPr>
        <w:spacing w:after="60" w:before="60"/>
        <w:jc w:val="both"/>
      </w:pPr>
      <w:r>
        <w:rPr>
          <w:rFonts w:ascii="Arial" w:cs="Arial" w:eastAsia="Arial" w:hAnsi="Arial"/>
          <w:sz w:val="22"/>
          <w:szCs w:val="22"/>
        </w:rPr>
        <w:t xml:space="preserve">Los objetivos del proyecto han sido definidos bajo el enfoque SMART (Específico, Medible, Alcanzable, Relevante y con Tiempo definido), alineados con las tres dimensiones fundamentales de la triple restricción del proyecto: Alcance, Tiempo y Costo.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000"/>
        <w:gridCol w:w="1200"/>
        <w:gridCol w:w="1760"/>
      </w:tblGrid>
      <w:tr>
        <w:tc>
          <w:tcPr>
            <w:tcW w:type="dxa" w:w="14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DIMENSIÓN</w:t>
            </w:r>
          </w:p>
        </w:tc>
        <w:tc>
          <w:tcPr>
            <w:tcW w:type="dxa" w:w="30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OBJETIVO SMART</w:t>
            </w:r>
          </w:p>
        </w:tc>
        <w:tc>
          <w:tcPr>
            <w:tcW w:type="dxa" w:w="20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INDICADOR KPI</w:t>
            </w:r>
          </w:p>
        </w:tc>
        <w:tc>
          <w:tcPr>
            <w:tcW w:type="dxa" w:w="12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META</w:t>
            </w:r>
          </w:p>
        </w:tc>
        <w:tc>
          <w:tcPr>
            <w:tcW w:type="dxa" w:w="176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CRITERIO DE ÉXITO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ALCANCE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Desarrollar y entregar la aplicación TeleSalud Rural Colombia con los 8 módulos funcionales definidos, el piloto ejecutado en 2 municipios y el despliegue en producción para 15 municipios objetivo, conforme al enunciado del alcance aprobado.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de entregables (E-01 a E-08) completados y aceptados por el sponsor vs. planificados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100% de entregables aprobados sin retrabajo mayor</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Todos los entregables aprobados en primera presentación o con máximo una iteración de corrección.</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TIEMPO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Completar el proyecto en un plazo máximo de 26 semanas, iniciando el 5 de mayo de 2025 y finalizando el 31 de octubre de 2025, con variación admisible de ±5%.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SPI (Schedule Performance Index) — Índice de Desempeño del Cronograma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SPI ≥ 0.95 al cierre de cada fase</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Entrega final no posterior al 14 de noviembre de 2025 (margen máximo admitido: 2 semanas).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COSTO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Ejecutar el proyecto con un presupuesto que no supere COP $320.000.000, incluyendo la reserva de contingencia del 10%, manteniendo un CPI ≥ 0.95 durante toda la ejecución.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CPI (Cost Performance Index) — Índice de Desempeño del Costo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CPI ≥ 0.95 en cada revisión mensual</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Costo final no superior al presupuesto aprobado. Variación máxima permitida: +10%.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CALIDAD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Lograr un NPS ≥ 45 y satisfacción de médicos ≥ 4.2/5.0 y de pacientes ≥ 4.0/5.0 en el piloto, con 0 incidentes de seguridad de datos durante todo el proyecto.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NPS post-piloto; Satisfacción médicos y pacientes (Likert 1–5); Número de incidentes de seguridad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NPS ≥ 45; Sat. médicos ≥ 4.2; Sat. pacientes ≥ 4.0; Incidentes = 0</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NPS y satisfacción verificados mediante encuesta estructurada post-piloto. Reporte de seguridad sin incidentes críticos.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IMPACTO EN SALUD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Lograr que al menos el 70% de las consultas del piloto resulten en diagnóstico oportuno y que el 60% de los pacientes crónicos monitoreados presenten adherencia al tratamiento durante el período del piloto.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Tasa de diagnóstico oportuno; Tasa de adherencia a tratamiento en pacientes crónicos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Diagnóstico oportuno ≥ 70%; Adherencia ≥ 60%</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Informe clínico del piloto validado por médico consultor con evidencia de impacto positivo en indicadores de salud.</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1.5  Supuestos y Restricciones</w:t>
      </w:r>
    </w:p>
    <w:p>
      <w:pPr>
        <w:spacing w:after="0" w:before="40"/>
      </w:pPr>
      <w:r>
        <w:t xml:space="preserve"/>
      </w:r>
    </w:p>
    <w:p>
      <w:pPr>
        <w:spacing w:after="60" w:before="60"/>
        <w:jc w:val="both"/>
      </w:pPr>
      <w:r>
        <w:rPr>
          <w:rFonts w:ascii="Arial" w:cs="Arial" w:eastAsia="Arial" w:hAnsi="Arial"/>
          <w:b/>
          <w:bCs/>
          <w:sz w:val="22"/>
          <w:szCs w:val="22"/>
        </w:rPr>
        <w:t xml:space="preserve">A. SUPUESTOS DEL PROYECTO</w:t>
      </w:r>
    </w:p>
    <w:p>
      <w:pPr>
        <w:spacing w:after="0" w:before="30"/>
      </w:pPr>
      <w:r>
        <w:t xml:space="preserve"/>
      </w:r>
    </w:p>
    <w:p>
      <w:pPr>
        <w:spacing w:after="60" w:before="60"/>
        <w:jc w:val="both"/>
      </w:pPr>
      <w:r>
        <w:rPr>
          <w:rFonts w:ascii="Arial" w:cs="Arial" w:eastAsia="Arial" w:hAnsi="Arial"/>
          <w:sz w:val="22"/>
          <w:szCs w:val="22"/>
        </w:rPr>
        <w:t xml:space="preserve">Los siguientes supuestos han sido identificados y aceptados como condiciones base para la planificación. Si alguno resultara falso, podría impactar el alcance, cronograma o costos del proyecto.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600"/>
        <w:gridCol w:w="3260"/>
      </w:tblGrid>
      <w:tr>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w:t>
            </w:r>
          </w:p>
        </w:tc>
        <w:tc>
          <w:tcPr>
            <w:tcW w:type="dxa" w:w="3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Supuesto</w:t>
            </w:r>
          </w:p>
        </w:tc>
        <w:tc>
          <w:tcPr>
            <w:tcW w:type="dxa" w:w="16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Área de Impacto</w:t>
            </w:r>
          </w:p>
        </w:tc>
        <w:tc>
          <w:tcPr>
            <w:tcW w:type="dxa" w:w="32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Responsable de Validación</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equipo (2 desarrolladores móviles, 1 médico consultor, 1 experto en seguridad datos de salud, 1 diseñador UX, 1 QA tester) estará disponible al 80% durante toda la duración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Cronograma / Recursos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Los 2 municipios seleccionados para el piloto (Tumaco, Nariño y Mitu, Vaupés) cuentan con cobertura mínima de red 3G en al menos el 60% de las zonas de atención médica identificadas.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Técnico / Alcance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Líder Técnico + Médico Consultor</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S-03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HealthConnect S.A.S. dispondrá del presupuesto aprobado de COP $320.000.000 en los tiempos establecidos para cada fase, sin interrupciones de flujo de caja.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Costo / Financiero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Director Financiero / Sponsor</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S-04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MinSalud procesará la solicitud de habilitación de la plataforma para telemedicina en un plazo no mayor a 8 semanas desde la radicación, sin requerir modificaciones estructurales a la app.</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Legal / Cronograma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 + Asesor Legal</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Las EPS del régimen subsidiado (EPS-S) aliadas para el piloto mantendrán su compromiso de participación y facilitarán el acceso a los médicos y pacientes durante las 6 semanas del piloto.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Alcance / Calidad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 / Sponsor</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Las tecnologías seleccionadas (React Native, Node.js, PostgreSQL, WebRTC, AWS GovCloud) no presentarán cambios de versión que rompan la compatibilidad durante el desarrollo.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Técnico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Líder Técnico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S-07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Los pacientes del piloto en zonas rurales contarán con un dispositivo Android (versión 8.0 o superior) o iOS (versión 13 o superior) para acceder a la aplicación.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Técnico / Alcance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 / Médico Consultor</w:t>
            </w:r>
          </w:p>
        </w:tc>
      </w:tr>
    </w:tbl>
    <w:p>
      <w:pPr>
        <w:spacing w:after="0" w:before="80"/>
      </w:pPr>
      <w:r>
        <w:t xml:space="preserve"/>
      </w:r>
    </w:p>
    <w:p>
      <w:pPr>
        <w:spacing w:after="60" w:before="60"/>
        <w:jc w:val="both"/>
      </w:pPr>
      <w:r>
        <w:rPr>
          <w:rFonts w:ascii="Arial" w:cs="Arial" w:eastAsia="Arial" w:hAnsi="Arial"/>
          <w:b/>
          <w:bCs/>
          <w:sz w:val="22"/>
          <w:szCs w:val="22"/>
        </w:rPr>
        <w:t xml:space="preserve">B. RESTRICCIONES DEL PROYECTO</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400"/>
        <w:gridCol w:w="3460"/>
      </w:tblGrid>
      <w:tr>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w:t>
            </w:r>
          </w:p>
        </w:tc>
        <w:tc>
          <w:tcPr>
            <w:tcW w:type="dxa" w:w="3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Restricción</w:t>
            </w:r>
          </w:p>
        </w:tc>
        <w:tc>
          <w:tcPr>
            <w:tcW w:type="dxa" w:w="1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Tipo</w:t>
            </w:r>
          </w:p>
        </w:tc>
        <w:tc>
          <w:tcPr>
            <w:tcW w:type="dxa" w:w="34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Impacto Potencial</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presupuesto máximo autorizado es de COP $320.000.000. No se aprobarán ampliaciones sin justificación ante la Junta Directiva de HealthConnect S.A.S.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Costo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Limita el alcance de funcionalidades, el tamaño del equipo y la cobertura geográfica del piloto.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fecha de go-live es el 31 de octubre de 2025 e inamovible, vinculada al inicio del ciclo de contratación con EPS subsidiadas para el período 2026.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Tiempo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Cualquier retraso en fases tempranas comprimirá fases posteriores, especialmente QA y piloto.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R-03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plataforma debe cumplir obligatoriamente con la Resolución 2654 de 2019 (telemedicina) y la Ley 1581 de 2012 (habeas data). No puede operarse sin habilitación del MinSalud.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Legal / Regulatorio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Retrasos en habilitación pueden bloquear el piloto y el go-live. Requiere gestión legal proactiva.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R-04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Los datos clínicos de los pacientes deben almacenarse en servidores ubicados en Colombia o en la nube con soberanía de datos colombiana (AWS GovCloud región us-east-1 con localización en Colombia).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Legal / Técnico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Limita opciones de infraestructura y puede incrementar costos de hosting respecto a regiones estándar.</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equipo de desarrollo no puede superar 7 personas, según política de equipos de proyectos de HealthConnect S.A.S.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Recursos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Limita la paralelización de tareas durante las fases de mayor demanda técnica.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app debe funcionar en dispositivos con Android 8.0+ e iOS 13+, que representan el 95% del parque de dispositivos identificado en las zonas del 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Técnico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Limita el uso de APIs nativas modernas y requiere pruebas en múltiples versiones de SO.</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1.6  Riesgos Iniciales de Alto Nivel</w:t>
      </w:r>
    </w:p>
    <w:p>
      <w:pPr>
        <w:spacing w:after="0" w:before="40"/>
      </w:pPr>
      <w:r>
        <w:t xml:space="preserve"/>
      </w:r>
    </w:p>
    <w:p>
      <w:pPr>
        <w:spacing w:after="60" w:before="60"/>
        <w:jc w:val="both"/>
      </w:pPr>
      <w:r>
        <w:rPr>
          <w:rFonts w:ascii="Arial" w:cs="Arial" w:eastAsia="Arial" w:hAnsi="Arial"/>
          <w:sz w:val="22"/>
          <w:szCs w:val="22"/>
        </w:rPr>
        <w:t xml:space="preserve">Se presentan los riesgos identificados en la etapa de iniciación del proyecto, evaluados preliminarmente según probabilidad e impacto. El registro completo se desarrollará en el Plan de Gestión de Riesgos (Capítulo 5).</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200"/>
        <w:gridCol w:w="800"/>
        <w:gridCol w:w="800"/>
        <w:gridCol w:w="900"/>
        <w:gridCol w:w="2560"/>
      </w:tblGrid>
      <w:tr>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w:t>
            </w:r>
          </w:p>
        </w:tc>
        <w:tc>
          <w:tcPr>
            <w:tcW w:type="dxa" w:w="2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Riesgo</w:t>
            </w:r>
          </w:p>
        </w:tc>
        <w:tc>
          <w:tcPr>
            <w:tcW w:type="dxa" w:w="1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Categoría</w:t>
            </w:r>
          </w:p>
        </w:tc>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Prob.</w:t>
            </w:r>
          </w:p>
        </w:tc>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Impacto</w:t>
            </w:r>
          </w:p>
        </w:tc>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Exposición</w:t>
            </w:r>
          </w:p>
        </w:tc>
        <w:tc>
          <w:tcPr>
            <w:tcW w:type="dxa" w:w="25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Estrategia Inicial</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RG-01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Retrasos en el proceso de habilitación de la plataforma por el MinSalud, bloqueando el piloto y el go-live.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Legal / Regulatorio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Alta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Muy Alto</w:t>
            </w:r>
          </w:p>
        </w:tc>
        <w:tc>
          <w:tcPr>
            <w:tcBorders>
              <w:top w:val="single" w:color="2471A3" w:sz="4"/>
              <w:left w:val="single" w:color="2471A3" w:sz="4"/>
              <w:bottom w:val="single" w:color="2471A3" w:sz="4"/>
              <w:right w:val="single" w:color="2471A3" w:sz="4"/>
            </w:tcBorders>
            <w:shd w:fill="FF000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CRÍTICO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Evitar: Iniciar trámite de habilitación en la semana S03. Contratar asesor jurídico especialista en salud digital desde el inicio.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RG-02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Conectividad insuficiente en los municipios del piloto, haciendo inoperante la videoconsulta en campo.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Técnico / Externo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Alta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Alto</w:t>
            </w:r>
          </w:p>
        </w:tc>
        <w:tc>
          <w:tcPr>
            <w:tcBorders>
              <w:top w:val="single" w:color="2471A3" w:sz="4"/>
              <w:left w:val="single" w:color="2471A3" w:sz="4"/>
              <w:bottom w:val="single" w:color="2471A3" w:sz="4"/>
              <w:right w:val="single" w:color="2471A3" w:sz="4"/>
            </w:tcBorders>
            <w:shd w:fill="FF000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CRÍTICO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Mitigar: Prueba de conectividad en campo en semana S04. Plan B: consultas asincrónicas por mensajería como fallback.</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RG-03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Baja adopción de la app por parte de los pacientes rurales por baja alfabetización digital o desconfianza.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Social / Externo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Media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Alto</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ALTO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Mitigar: Programa de capacitación presencial en municipios del piloto. Interfaz ultrasimplificada. Agentes comunitarios de salud como facilitadores.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RG-04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Rotación o indisponibilidad del médico consultor o del experto en seguridad de datos, roles críticos y difíciles de reemplazar.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Recursos Humanos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Media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Alto</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ALTO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Mitigar: Cláusulas de exclusividad en contratos. Documentación continua del conocimiento. Identificar suplente desde el inicio.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RG-05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Vulnerabilidad de seguridad en el manejo de datos clínicos, generando exposición de información sensible de pacientes.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Seguridad / Legal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Baja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Muy Alto</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ALTO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Evitar: Auditoría de penetración en semana S16. Cifrado AES-256 + TLS 1.3 desde el diseño. Política de acceso por roles (RBAC).</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RG-06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Cambios en la regulación de telemedicina durante el proyecto que requieran modificaciones estructurales a la plataforma.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Legal / Externo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Baja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Alto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MEDIO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Transferir: Monitoreo semanal de normativa MinSalud. Arquitectura modular que facilite adaptaciones regulatorias.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RG-07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Las EPS aliadas del piloto reducen su participación o retiran el convenio durante la fase de pruebas.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Externo / Comercial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Media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Medio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MEDIO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Mitigar: Convenios formales firmados antes del inicio del piloto. Identificar 2 EPS de respaldo. Cláusulas de penalización por retiro.</w:t>
            </w:r>
          </w:p>
        </w:tc>
      </w:tr>
    </w:tbl>
    <w:p>
      <w:pPr>
        <w:spacing w:after="0" w:before="60"/>
      </w:pPr>
      <w:r>
        <w:t xml:space="preserve"/>
      </w:r>
    </w:p>
    <w:p>
      <w:pPr>
        <w:spacing w:after="60" w:before="60"/>
        <w:jc w:val="both"/>
      </w:pPr>
      <w:r>
        <w:rPr>
          <w:rFonts w:ascii="Arial" w:cs="Arial" w:eastAsia="Arial" w:hAnsi="Arial"/>
          <w:b/>
          <w:bCs/>
          <w:sz w:val="22"/>
          <w:szCs w:val="22"/>
        </w:rPr>
        <w:t xml:space="preserve">Matriz de Calor de Riesgos (resumen visual):</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PROBABILIDAD \ IMPACTO</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BAJO</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MEDIO</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ALTO</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MUY ALTO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ALTA</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RG-03</w:t>
            </w:r>
          </w:p>
        </w:tc>
        <w:tc>
          <w:tcPr>
            <w:tcBorders>
              <w:top w:val="single" w:color="2471A3" w:sz="4"/>
              <w:left w:val="single" w:color="2471A3" w:sz="4"/>
              <w:bottom w:val="single" w:color="2471A3" w:sz="4"/>
              <w:right w:val="single" w:color="2471A3" w:sz="4"/>
            </w:tcBorders>
            <w:shd w:fill="FF000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RG-01, RG-02</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MEDIA</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RG-07</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RG-04</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BAJA</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RG-06</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RG-05</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1.7  Cronograma de Hitos Principales</w:t>
      </w:r>
    </w:p>
    <w:p>
      <w:pPr>
        <w:spacing w:after="0" w:before="40"/>
      </w:pPr>
      <w:r>
        <w:t xml:space="preserve"/>
      </w:r>
    </w:p>
    <w:p>
      <w:pPr>
        <w:spacing w:after="60" w:before="60"/>
        <w:jc w:val="both"/>
      </w:pPr>
      <w:r>
        <w:rPr>
          <w:rFonts w:ascii="Arial" w:cs="Arial" w:eastAsia="Arial" w:hAnsi="Arial"/>
          <w:sz w:val="22"/>
          <w:szCs w:val="22"/>
        </w:rPr>
        <w:t xml:space="preserve">El proyecto se estructura en cinco fases ejecutadas de forma secuencial con solapamientos controlados. Los hitos representan puntos de control críticos que requieren aprobación formal del sponsor antes de avanzar a la siguiente fase.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400"/>
        <w:gridCol w:w="900"/>
        <w:gridCol w:w="2460"/>
      </w:tblGrid>
      <w:tr>
        <w:tc>
          <w:tcPr>
            <w:tcW w:type="dxa" w:w="1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FASE</w:t>
            </w:r>
          </w:p>
        </w:tc>
        <w:tc>
          <w:tcPr>
            <w:tcW w:type="dxa" w:w="3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HITO</w:t>
            </w:r>
          </w:p>
        </w:tc>
        <w:tc>
          <w:tcPr>
            <w:tcW w:type="dxa" w:w="1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FECHA PLANIF.</w:t>
            </w:r>
          </w:p>
        </w:tc>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SEMANA</w:t>
            </w:r>
          </w:p>
        </w:tc>
        <w:tc>
          <w:tcPr>
            <w:tcW w:type="dxa" w:w="24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ENTREGABLE ASOCIADO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INICIO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H-00 — Kick-off Oficial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 may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Acta de Constitución firmada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F1 — Planificación y Diseño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H-01 — Arquitectura técnica aprobada por CTO y MinSalud (habilitación iniciada)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16 may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E-01: Documento de Arquitectura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F1 — Planificación y Diseño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H-02 — Prototipo UI/UX validado con médicos y pacientes rurales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06 jun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E-02: Prototipo Alta Fidelidad</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F2 — Desarrollo Core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H-03 — Módulo de telemedicina sincrónica operativo (videoconsulta)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27 jun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E-03: Módulo Telemedicina Sincrónica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F2 — Desarrollo Core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H-04 — Historia clínica digital FHIR R4 implementada y validada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18 jul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S11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E-04: Historia Clínica Digital</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F3 — Integración y Pruebas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H-05 — Versión beta completa (todos los módulos integrados)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08 ago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S14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E-05: App Móvil Funcional (beta)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F3 — Integración y Pruebas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H-06 — Auditoría de seguridad superada (0 vulnerabilidades críticas)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22 ago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S16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Informe de Auditoría de Seguridad</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F4 — 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H-07 — Piloto completado en Tumaco y Mitú (200 pacientes, 10 médicos)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03 oct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S23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E-06: Informe de Resultados del Piloto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F5 — Despliegue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H-08 — App v1.0 desplegada en producción (Go-Live 15 municipios)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24 oct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E-07: Aplicación en Producción v1.0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CIERRE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H-09 — Cierre formal del proyecto y entrega de documentación final</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31 oct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S26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E-08: Documentación Técnica + Acta de Cierre</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1.8  Presupuesto Estimado</w:t>
      </w:r>
    </w:p>
    <w:p>
      <w:pPr>
        <w:spacing w:after="0" w:before="40"/>
      </w:pPr>
      <w:r>
        <w:t xml:space="preserve"/>
      </w:r>
    </w:p>
    <w:p>
      <w:pPr>
        <w:spacing w:after="60" w:before="60"/>
        <w:jc w:val="both"/>
      </w:pPr>
      <w:r>
        <w:rPr>
          <w:rFonts w:ascii="Arial" w:cs="Arial" w:eastAsia="Arial" w:hAnsi="Arial"/>
          <w:sz w:val="22"/>
          <w:szCs w:val="22"/>
        </w:rPr>
        <w:t xml:space="preserve">El presupuesto ha sido estimado mediante la técnica de estimación análoga y estimación ascendente para las partidas de mayor precisión. Las cifras se expresan en pesos colombianos (COP).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900"/>
        <w:gridCol w:w="1860"/>
      </w:tblGrid>
      <w:tr>
        <w:tc>
          <w:tcPr>
            <w:tcW w:type="dxa" w:w="26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CATEGORÍA DE COSTO</w:t>
            </w:r>
          </w:p>
        </w:tc>
        <w:tc>
          <w:tcPr>
            <w:tcW w:type="dxa" w:w="30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DESCRIPCIÓN</w:t>
            </w:r>
          </w:p>
        </w:tc>
        <w:tc>
          <w:tcPr>
            <w:tcW w:type="dxa" w:w="19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COSTO ESTIMADO (COP)</w:t>
            </w:r>
          </w:p>
        </w:tc>
        <w:tc>
          <w:tcPr>
            <w:tcW w:type="dxa" w:w="186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 DEL TOTAL</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Recursos Humanos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 (26 sem × dedicación 50%)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$23.400.000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8,0%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Recursos Humanos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 Desarrolladores Móviles Full-Stack (26 sem × 80%)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$78.000.000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26,7%</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Recursos Humanos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Médico Consultor — Informática Médica (20 sem × 60%)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$24.000.000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8,2%</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Recursos Humanos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Experto en Seguridad de Datos de Salud (12 sem × 80%)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$19.200.000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6,6%</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Recursos Humanos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Diseñador UX/UI (10 sem × 100%)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$15.000.000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5,1%</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Recursos Humanos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QA Tester (8 sem × 100%)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$10.400.000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3,6%</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Infraestructura TI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AWS GovCloud (EC2, RDS, S3, CloudFront) — 8 meses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$12.800.000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4,4%</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Infraestructura TI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Licencias software: Figma, GitHub, Jira, Confluence, WebRTC</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$3.500.000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1,2%</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Legal y Regulatorio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Asesoría jurídica especialista en salud digital + trámite habilitación MinSalud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$8.000.000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2,7%</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Logística, conectividad temporal, dispositivos de prueba y coordinación en campo (2 municipios)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$12.000.000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4,1%</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Auditoría de Seguridad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Servicio de penetration testing y certificación de seguridad de datos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$8.000.000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2,7%</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Contingencias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Reserva de contingencia (10% sobre costos directos)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$18.754.000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6,4%</w:t>
            </w:r>
          </w:p>
        </w:tc>
      </w:tr>
      <w:tr>
        <w:tc>
          <w:tcPr>
            <w:gridSpan w:val="2"/>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TOTAL PRESUPUESTO APROBADO</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FFFFFF"/>
                <w:sz w:val="20"/>
                <w:szCs w:val="20"/>
              </w:rPr>
              <w:t xml:space="preserve">$233.054.000</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100%</w:t>
            </w:r>
          </w:p>
        </w:tc>
      </w:tr>
    </w:tbl>
    <w:p>
      <w:pPr>
        <w:spacing w:after="0" w:before="40"/>
      </w:pPr>
      <w:r>
        <w:t xml:space="preserve"/>
      </w:r>
    </w:p>
    <w:p>
      <w:pPr>
        <w:spacing w:after="60" w:before="60"/>
        <w:jc w:val="both"/>
      </w:pPr>
      <w:r>
        <w:rPr>
          <w:rFonts w:ascii="Arial" w:cs="Arial" w:eastAsia="Arial" w:hAnsi="Arial"/>
          <w:i/>
          <w:iCs/>
          <w:color w:val="666666"/>
          <w:sz w:val="22"/>
          <w:szCs w:val="22"/>
        </w:rPr>
        <w:t xml:space="preserve">Nota: El presupuesto aprobado de COP $233.054.000 se encuentra dentro del techo máximo autorizado de COP $320.000.000, lo que otorga un margen de gestión adicional de COP $86.946.000 destinado a cubrir posibles escaladas de requerimientos, cambios regulatorios o riesgos no identificados (reserva de gestión bajo control del sponsor).</w:t>
      </w:r>
    </w:p>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1.9  Lista de Interesados (Stakeholders)</w:t>
      </w:r>
    </w:p>
    <w:p>
      <w:pPr>
        <w:spacing w:after="0" w:before="40"/>
      </w:pPr>
      <w:r>
        <w:t xml:space="preserve"/>
      </w:r>
    </w:p>
    <w:p>
      <w:pPr>
        <w:spacing w:after="60" w:before="60"/>
        <w:jc w:val="both"/>
      </w:pPr>
      <w:r>
        <w:rPr>
          <w:rFonts w:ascii="Arial" w:cs="Arial" w:eastAsia="Arial" w:hAnsi="Arial"/>
          <w:sz w:val="22"/>
          <w:szCs w:val="22"/>
        </w:rPr>
        <w:t xml:space="preserve">El registro preliminar de interesados identifica a todas las personas, grupos y organizaciones con interés o influencia en el proyecto. El análisis detallado se desarrollará en el Plan de Gestión de los Interesados (Capítulo 3).</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600"/>
        <w:gridCol w:w="1000"/>
        <w:gridCol w:w="1000"/>
        <w:gridCol w:w="2960"/>
      </w:tblGrid>
      <w:tr>
        <w:tc>
          <w:tcPr>
            <w:tcW w:type="dxa" w:w="6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w:t>
            </w:r>
          </w:p>
        </w:tc>
        <w:tc>
          <w:tcPr>
            <w:tcW w:type="dxa" w:w="2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Interesado / Grupo</w:t>
            </w:r>
          </w:p>
        </w:tc>
        <w:tc>
          <w:tcPr>
            <w:tcW w:type="dxa" w:w="16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Rol en el Proyecto</w:t>
            </w:r>
          </w:p>
        </w:tc>
        <w:tc>
          <w:tcPr>
            <w:tcW w:type="dxa" w:w="1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Tipo</w:t>
            </w:r>
          </w:p>
        </w:tc>
        <w:tc>
          <w:tcPr>
            <w:tcW w:type="dxa" w:w="1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Posición</w:t>
            </w:r>
          </w:p>
        </w:tc>
        <w:tc>
          <w:tcPr>
            <w:tcW w:type="dxa" w:w="29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Interés Principal</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Ing. Jose David Cubillos Parra e Ing. Orlando Garzon Ramos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Sponsors / Patrocinadores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Interno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Partidario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Éxito del proyecto; posicionamiento de HealthConnect como referente en salud digital rural.</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Ing. Alejandro De Mendoza, PMP®</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Interno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Partidario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Entrega exitosa dentro de alcance, tiempo y costo aprobados.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ST-03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Equipo de Desarrollo (Dev1, Dev2)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Desarrolladores Móviles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Interno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Partidario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Claridad en requerimientos; herramientas adecuadas; entorno técnico estable.</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ST-04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Dr. Felipe Castaño (Médico Consultor)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Asesor Clínico e Informático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Externo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Partidario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Plataforma clínicamente rigurosa, interoperable y que facilite el trabajo médico remoto.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Experto en Seguridad (Luis Mora)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Analista de Seguridad de Datos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Interno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Partidario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Cumplimiento normativo total; arquitectura de seguridad robusta desde el diseño.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Pacientes Rurales (zonas 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Usuario Final Primario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Externo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Neutro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App fácil de usar, que reduzca desplazamientos y mejore acceso a atención médica.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ST-07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Médicos Generales y Especialistas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Usuario Final Secundario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Externo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Neutro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Herramienta que facilite la atención remota, con historia clínica integrada y prescripción digital.</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EPS Régimen Subsidiado (aliadas)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Socio Institucional del 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Externo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Partidario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Reducción de costos de referencia y traslado; mejora en indicadores de acceso a salud.</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ST-09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Ministerio de Salud (MinSalud)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Ente Regulador y Habilitador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Externo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Neutro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Cumplimiento de Resolución 2654/2019; plataforma segura y clínicamente adecuada.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ST-10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Alcaldías Municipios 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Aliado Territorial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Externo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Partidario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Mejora en indicadores de salud del municipio; acceso a tecnología sin costo para comunidades.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ST-11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Dirección Financiera HealthConnect</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Controlador Financiero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Interno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Neutro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Cumplimiento del presupuesto; informes de gasto oportunos; ROI del proyecto.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ST-12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Área Legal HealthConnect</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Asesor Legal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Interno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Neutro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Cumplimiento Resolución 2654/2019, Ley 1581/2012 y normativa de habilitación MinSalud.</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ST-13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Competidores del mercado HealthTech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Influenciador externo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Externo</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Reticente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N/A — Monitoreo de mercado; posible presión competitiva en el segmento rural.</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1.10  Requisitos de Aprobación del Proyecto</w:t>
      </w:r>
    </w:p>
    <w:p>
      <w:pPr>
        <w:spacing w:after="0" w:before="40"/>
      </w:pPr>
      <w:r>
        <w:t xml:space="preserve"/>
      </w:r>
    </w:p>
    <w:p>
      <w:pPr>
        <w:spacing w:after="60" w:before="60"/>
        <w:jc w:val="both"/>
      </w:pPr>
      <w:r>
        <w:rPr>
          <w:rFonts w:ascii="Arial" w:cs="Arial" w:eastAsia="Arial" w:hAnsi="Arial"/>
          <w:sz w:val="22"/>
          <w:szCs w:val="22"/>
        </w:rPr>
        <w:t xml:space="preserve">Los siguientes criterios deben verificarse y documentarse formalmente para considerar el proyecto como exitoso y proceder a su cierre oficial.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200"/>
        <w:gridCol w:w="1160"/>
      </w:tblGrid>
      <w:tr>
        <w:tc>
          <w:tcPr>
            <w:tcW w:type="dxa" w:w="3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CRITERIO</w:t>
            </w:r>
          </w:p>
        </w:tc>
        <w:tc>
          <w:tcPr>
            <w:tcW w:type="dxa" w:w="2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EVIDENCIA REQUERIDA</w:t>
            </w:r>
          </w:p>
        </w:tc>
        <w:tc>
          <w:tcPr>
            <w:tcW w:type="dxa" w:w="2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RESPONSABLE DE VERIFICACIÓN</w:t>
            </w:r>
          </w:p>
        </w:tc>
        <w:tc>
          <w:tcPr>
            <w:tcW w:type="dxa" w:w="11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ESTADO</w:t>
            </w:r>
          </w:p>
        </w:tc>
      </w:tr>
      <w:tr>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Todos los 8 entregables (E-01 a E-08) han sido formalmente aceptados por el sponsor.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Actas de aceptación firmadas por el sponsor para cada entregable.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 + Sponsor</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Pendiente</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plataforma TeleSalud Rural Colombia v1.0 cuenta con habilitación vigente del MinSalud para operación en telemedicina.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Resolución de habilitación emitida por el MinSalud. Registro en REPS (Registro Especial de Prestadores).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 + Asesor Legal</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Pendiente</w:t>
            </w:r>
          </w:p>
        </w:tc>
      </w:tr>
      <w:tr>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aplicación está desplegada y operativa en producción para los 15 municipios objetivo con disponibilidad ≥ 99.5%.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Reporte de monitoreo AWS con disponibilidad verificada en los primeros 30 días de operación.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Líder Técnico (Dev Lead)</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Pendiente</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NPS del piloto es ≥ 45 y la satisfacción de médicos ≥ 4.2/5.0 y pacientes ≥ 4.0/5.0.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Informe de resultados del piloto con análisis estadístico de NPS y satisfacción, validado por médico consultor.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 + Médico Consultor</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Pendiente</w:t>
            </w:r>
          </w:p>
        </w:tc>
      </w:tr>
      <w:tr>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costo final no supera el presupuesto aprobado de COP $320.000.000 (CPI final ≥ 0.95).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Informe financiero final con conciliación de costos reales vs. presupuesto aprobado.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Director Financiero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Pendiente</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auditoría de seguridad de datos finalizó sin vulnerabilidades críticas abiertas.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Informe de penetration testing con 0 hallazgos críticos o altos sin remediar. Certificado de cumplimiento.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Experto en Seguridad + Gerente</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Pendiente</w:t>
            </w:r>
          </w:p>
        </w:tc>
      </w:tr>
      <w:tr>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documentación técnica completa ha sido entregada y validada por el equipo técnico receptor.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Acta de recepción técnica firmada por el Director de TI de HealthConnect S.A.S.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Líder Técnico + Director TI</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Pendiente</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1.11  Asignación del Gerente del Proyecto y Nivel de Autoridad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INFORMACIÓN DEL GERENTE DEL PROYECTO</w:t>
            </w:r>
          </w:p>
        </w:tc>
      </w:tr>
      <w:tr>
        <w:tc>
          <w:tcPr>
            <w:tcW w:type="dxa" w:w="3000"/>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Nombre completo</w:t>
            </w:r>
          </w:p>
        </w:tc>
        <w:tc>
          <w:tcPr>
            <w:tcW w:type="dxa" w:w="6360"/>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Alejandro De Mendoza, PMP®</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Cargo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 Proyecto Senior — HealthConnect S.A.S.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Certificaciones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PMP® (Project Management Professional) — PMI® | Scrum Master Certificado (CSM) — Scrum Alliance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Contacto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a.demendoza@healthconnect.com.co  |  +57 310 456 7890</w:t>
            </w:r>
          </w:p>
        </w:tc>
      </w:tr>
    </w:tbl>
    <w:p>
      <w:pPr>
        <w:spacing w:after="0" w:before="60"/>
      </w:pPr>
      <w:r>
        <w:t xml:space="preserve"/>
      </w:r>
    </w:p>
    <w:p>
      <w:pPr>
        <w:spacing w:after="60" w:before="60"/>
        <w:jc w:val="both"/>
      </w:pPr>
      <w:r>
        <w:rPr>
          <w:rFonts w:ascii="Arial" w:cs="Arial" w:eastAsia="Arial" w:hAnsi="Arial"/>
          <w:b/>
          <w:bCs/>
          <w:sz w:val="22"/>
          <w:szCs w:val="22"/>
        </w:rPr>
        <w:t xml:space="preserve">Nivel de Autoridad del Gerente del Proyecto:</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ÁMBITO DE DECISIÓN</w:t>
            </w:r>
          </w:p>
        </w:tc>
        <w:tc>
          <w:tcPr>
            <w:tcW w:type="dxa" w:w="2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NIVEL DE AUTORIDAD</w:t>
            </w:r>
          </w:p>
        </w:tc>
        <w:tc>
          <w:tcPr>
            <w:tcW w:type="dxa" w:w="43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LÍMITE / CONDICIÓN</w:t>
            </w:r>
          </w:p>
        </w:tc>
      </w:tr>
      <w:tr>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Aprobación de gastos del proyecto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PLENA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Hasta COP $6.000.000 por transacción. Montos mayores requieren co-aprobación del Sponsor.</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Asignación y reasignación de recursos del equipo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PLENA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Sobre los recursos preasignados. La incorporación de nuevos recursos requiere aprobación del Sponsor.</w:t>
            </w:r>
          </w:p>
        </w:tc>
      </w:tr>
      <w:tr>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Aprobación de cambios de bajo impacto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PLENA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Cambios que no afecten más del 5% del costo, 3% del cronograma ni el alcance aprobado.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Aprobación de cambios de mediano y alto impacto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LIMITADA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Requiere presentación ante el CCC y aprobación del Sponsor.</w:t>
            </w:r>
          </w:p>
        </w:tc>
      </w:tr>
      <w:tr>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Decisiones técnicas de arquitectura</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PLENA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En coordinación con el Líder Técnico. Cambios de arquitectura mayor requieren aprobación CCC.</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Gestión del proceso de habilitación MinSalud</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PLENA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En coordinación con el Asesor Legal. Decisiones de estrategia legal requieren aprobación del Sponsor.</w:t>
            </w:r>
          </w:p>
        </w:tc>
      </w:tr>
      <w:tr>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Aprobación de entregables del proyecto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LIMITADA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aceptación final de entregables es competencia exclusiva del Sponsor.</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Contratación o desvinculación de contratistas</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NULA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Competencia exclusiva del área de RRHH y el Sponsor.</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1.12  Personal y Recursos Preasignados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000"/>
        <w:gridCol w:w="1200"/>
        <w:gridCol w:w="3160"/>
      </w:tblGrid>
      <w:tr>
        <w:tc>
          <w:tcPr>
            <w:tcW w:type="dxa" w:w="2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ROL</w:t>
            </w:r>
          </w:p>
        </w:tc>
        <w:tc>
          <w:tcPr>
            <w:tcW w:type="dxa" w:w="2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NOMBRE / RECURSO</w:t>
            </w:r>
          </w:p>
        </w:tc>
        <w:tc>
          <w:tcPr>
            <w:tcW w:type="dxa" w:w="1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DEDICACIÓN</w:t>
            </w:r>
          </w:p>
        </w:tc>
        <w:tc>
          <w:tcPr>
            <w:tcW w:type="dxa" w:w="1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FASE(S)</w:t>
            </w:r>
          </w:p>
        </w:tc>
        <w:tc>
          <w:tcPr>
            <w:tcW w:type="dxa" w:w="31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RESPONSABILIDADES CLAVE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Gerente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Alejandro De Mendoza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Todas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Planificación, monitoreo, control de cambios, gestión de habilitación MinSalud, comunicación con stakeholders, cierre.</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Desarrollador Móvil (Lead)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Santiago Pérez Vargas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80%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F1, F2, F3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Arquitectura React Native, desarrollo backend Node.js, integración WebRTC y AWS GovCloud.</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Desarrollador Móvil (Jr.)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Valentina Ríos Castro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80%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F2, F3, F4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Frontend móvil Android/iOS, módulo offline, sincronización diferida, integración FHIR R4.</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Médico Consultor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Dr. Felipe Castaño Arango (Contratista)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F1, F2, F4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Diseño de flujos clínicos, validación de historia clínica FHIR, protocolo de teleconsulta y validación clínica del piloto.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Experto en Seguridad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Luis Mora Quintero (Contratista)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80%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F1, F3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Diseño de arquitectura de seguridad, implementación AES-256/TLS 1.3, RBAC, auditoría de penetración.</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Diseñadora UX/UI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 Andrea Salcedo Pinto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Investigación de usuario con pacientes rurales, wireframes, prototipo alta fidelidad, sistema de diseño accesible.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QA Tester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Camilo Torres Herrera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F3, F4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Plan de pruebas, ejecución de pruebas funcionales, de conectividad baja, rendimiento y seguridad, gestión de bugs en Jira.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Infraestructura AWS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Servicios en nube GovCloud (IaaS)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N/A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F2, F3, F4, F5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EC2 (2 instancias t3.large), RDS PostgreSQL cifrada, S3 con versionado, CloudFront CDN, VPC segura.</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1.13  Aprobaciones</w:t>
      </w:r>
    </w:p>
    <w:p>
      <w:pPr>
        <w:spacing w:after="0" w:before="40"/>
      </w:pPr>
      <w:r>
        <w:t xml:space="preserve"/>
      </w:r>
    </w:p>
    <w:p>
      <w:pPr>
        <w:spacing w:after="60" w:before="60"/>
        <w:jc w:val="both"/>
      </w:pPr>
      <w:r>
        <w:rPr>
          <w:rFonts w:ascii="Arial" w:cs="Arial" w:eastAsia="Arial" w:hAnsi="Arial"/>
          <w:sz w:val="22"/>
          <w:szCs w:val="22"/>
        </w:rPr>
        <w:t xml:space="preserve">Al firmar el presente documento, los abajo firmantes reconocen haber revisado el contenido del Acta de Constitución del Proyecto TeleSalud Rural Colombia y autorizan formalmente su inicio, otorgando al Gerente del Proyecto los poderes y recursos aquí descritos.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ROL</w:t>
            </w:r>
          </w:p>
        </w:tc>
        <w:tc>
          <w:tcPr>
            <w:tcW w:type="dxa" w:w="24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NOMBRE COMPLETO</w:t>
            </w:r>
          </w:p>
        </w:tc>
        <w:tc>
          <w:tcPr>
            <w:tcW w:type="dxa" w:w="22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FIRMA</w:t>
            </w:r>
          </w:p>
        </w:tc>
        <w:tc>
          <w:tcPr>
            <w:tcW w:type="dxa" w:w="236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FECHA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Patrocinadores del Proyecto (Sponsors)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Jose David Cubillos Parra e Ing. Orlando Garzon Ramos</w:t>
            </w:r>
          </w:p>
        </w:tc>
        <w:tc>
          <w:tcPr>
            <w:tcBorders>
              <w:top w:val="single" w:color="2471A3" w:sz="4"/>
              <w:left w:val="single" w:color="2471A3" w:sz="4"/>
              <w:bottom w:val="single" w:color="2471A3" w:sz="4"/>
              <w:right w:val="single" w:color="2471A3" w:sz="4"/>
            </w:tcBorders>
            <w:shd w:fill="FFFFFF" w:val="clear"/>
            <w:tcMar>
              <w:top w:type="dxa" w:w="800"/>
              <w:left w:type="dxa" w:w="120"/>
              <w:bottom w:type="dxa" w:w="800"/>
              <w:right w:type="dxa" w:w="120"/>
            </w:tcMar>
          </w:tcPr>
          <w:p>
            <w:r>
              <w:t xml:space="preserve"/>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_____ / _____ / 2025</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Gerente del Proyecto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Alejandro De Mendoza, PMP®</w:t>
            </w:r>
          </w:p>
        </w:tc>
        <w:tc>
          <w:tcPr>
            <w:tcBorders>
              <w:top w:val="single" w:color="2471A3" w:sz="4"/>
              <w:left w:val="single" w:color="2471A3" w:sz="4"/>
              <w:bottom w:val="single" w:color="2471A3" w:sz="4"/>
              <w:right w:val="single" w:color="2471A3" w:sz="4"/>
            </w:tcBorders>
            <w:shd w:fill="FFFFFF" w:val="clear"/>
            <w:tcMar>
              <w:top w:type="dxa" w:w="800"/>
              <w:left w:type="dxa" w:w="120"/>
              <w:bottom w:type="dxa" w:w="800"/>
              <w:right w:type="dxa" w:w="120"/>
            </w:tcMar>
          </w:tcPr>
          <w:p>
            <w:r>
              <w:t xml:space="preserve"/>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_____ / _____ / 2025</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Director de TI / 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Roberto Suárez Montoya</w:t>
            </w:r>
          </w:p>
        </w:tc>
        <w:tc>
          <w:tcPr>
            <w:tcBorders>
              <w:top w:val="single" w:color="2471A3" w:sz="4"/>
              <w:left w:val="single" w:color="2471A3" w:sz="4"/>
              <w:bottom w:val="single" w:color="2471A3" w:sz="4"/>
              <w:right w:val="single" w:color="2471A3" w:sz="4"/>
            </w:tcBorders>
            <w:shd w:fill="FFFFFF" w:val="clear"/>
            <w:tcMar>
              <w:top w:type="dxa" w:w="800"/>
              <w:left w:type="dxa" w:w="120"/>
              <w:bottom w:type="dxa" w:w="800"/>
              <w:right w:type="dxa" w:w="120"/>
            </w:tcMar>
          </w:tcPr>
          <w:p>
            <w:r>
              <w:t xml:space="preserve"/>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_____ / _____ / 2025</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Director Financiero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Econ. Marcela Pineda Guzmán</w:t>
            </w:r>
          </w:p>
        </w:tc>
        <w:tc>
          <w:tcPr>
            <w:tcBorders>
              <w:top w:val="single" w:color="2471A3" w:sz="4"/>
              <w:left w:val="single" w:color="2471A3" w:sz="4"/>
              <w:bottom w:val="single" w:color="2471A3" w:sz="4"/>
              <w:right w:val="single" w:color="2471A3" w:sz="4"/>
            </w:tcBorders>
            <w:shd w:fill="FFFFFF" w:val="clear"/>
            <w:tcMar>
              <w:top w:type="dxa" w:w="800"/>
              <w:left w:type="dxa" w:w="120"/>
              <w:bottom w:type="dxa" w:w="800"/>
              <w:right w:type="dxa" w:w="120"/>
            </w:tcMar>
          </w:tcPr>
          <w:p>
            <w:r>
              <w:t xml:space="preserve"/>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_____ / _____ / 2025</w:t>
            </w:r>
          </w:p>
        </w:tc>
      </w:tr>
    </w:tbl>
    <w:p>
      <w:pPr>
        <w:spacing w:after="0" w:before="80"/>
      </w:pPr>
      <w:r>
        <w:t xml:space="preserve"/>
      </w:r>
    </w:p>
    <w:p>
      <w:pPr>
        <w:pBdr>
          <w:top w:val="single" w:color="2471A3" w:sz="4" w:space="2"/>
          <w:bottom w:val="single" w:color="2471A3" w:sz="4" w:space="2"/>
        </w:pBdr>
        <w:spacing w:after="120" w:before="120"/>
        <w:jc w:val="center"/>
      </w:pPr>
      <w:r>
        <w:rPr>
          <w:rFonts w:ascii="Arial" w:cs="Arial" w:eastAsia="Arial" w:hAnsi="Arial"/>
          <w:i/>
          <w:iCs/>
          <w:color w:val="888888"/>
          <w:sz w:val="16"/>
          <w:szCs w:val="16"/>
        </w:rPr>
        <w:t xml:space="preserve">HealthConnect S.A.S.  —  Documento: PRJ-TSRC-2025-001  —  Versión 1.0  —  Clasificación: Confidencial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471A3" w:sz="4" w:space="1"/>
      </w:pBdr>
      <w:tabs>
        <w:tab w:val="right" w:pos="9360"/>
      </w:tabs>
      <w:spacing w:after="0" w:before="60"/>
    </w:pPr>
    <w:r>
      <w:rPr>
        <w:rFonts w:ascii="Arial" w:cs="Arial" w:eastAsia="Arial" w:hAnsi="Arial"/>
        <w:i/>
        <w:iCs/>
        <w:color w:val="888888"/>
        <w:sz w:val="16"/>
        <w:szCs w:val="16"/>
      </w:rPr>
      <w:t xml:space="preserve">Confidencial — Uso interno</w:t>
    </w:r>
    <w:r>
      <w:rPr>
        <w:rFonts w:ascii="Arial" w:cs="Arial" w:eastAsia="Arial" w:hAnsi="Arial"/>
        <w:sz w:val="16"/>
        <w:szCs w:val="16"/>
      </w:rPr>
      <w:t xml:space="preserve">	</w:t>
    </w: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71A3" w:sz="6" w:space="1"/>
      </w:pBdr>
      <w:spacing w:after="60" w:before="0"/>
    </w:pPr>
    <w:r>
      <w:rPr>
        <w:rFonts w:ascii="Arial" w:cs="Arial" w:eastAsia="Arial" w:hAnsi="Arial"/>
        <w:b/>
        <w:bCs/>
        <w:color w:val="2471A3"/>
        <w:sz w:val="18"/>
        <w:szCs w:val="18"/>
      </w:rPr>
      <w:t xml:space="preserve">TeleSalud Rural Colombia  |  Plan de Gestión del Proyecto</w:t>
    </w:r>
    <w:r>
      <w:rPr>
        <w:rFonts w:ascii="Arial" w:cs="Arial" w:eastAsia="Arial" w:hAnsi="Arial"/>
        <w:color w:val="888888"/>
        <w:sz w:val="18"/>
        <w:szCs w:val="18"/>
      </w:rPr>
      <w:t xml:space="preserve">     Capítulo 1: Acta de Constitución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2026-03-21T17:25:49.785Z</dcterms:created>
  <dcterms:modified xsi:type="dcterms:W3CDTF">2026-03-21T17:25:49.786Z</dcterms:modified>
</cp:coreProperties>
</file>

<file path=docProps/custom.xml><?xml version="1.0" encoding="utf-8"?>
<Properties xmlns="http://schemas.openxmlformats.org/officeDocument/2006/custom-properties" xmlns:vt="http://schemas.openxmlformats.org/officeDocument/2006/docPropsVTypes"/>
</file>