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ED1" w:rsidRPr="00586308" w:rsidRDefault="004E0ED1" w:rsidP="004E0ED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6308">
        <w:rPr>
          <w:rFonts w:ascii="Times New Roman" w:hAnsi="Times New Roman" w:cs="Times New Roman"/>
          <w:b/>
          <w:bCs/>
          <w:sz w:val="24"/>
          <w:szCs w:val="24"/>
        </w:rPr>
        <w:t>Engranajes cónicos</w:t>
      </w:r>
    </w:p>
    <w:p w:rsidR="004E0ED1" w:rsidRPr="00586308" w:rsidRDefault="004E0ED1" w:rsidP="004E0ED1">
      <w:pPr>
        <w:jc w:val="both"/>
        <w:rPr>
          <w:rFonts w:ascii="Times New Roman" w:hAnsi="Times New Roman" w:cs="Times New Roman"/>
          <w:sz w:val="24"/>
          <w:szCs w:val="24"/>
        </w:rPr>
      </w:pPr>
      <w:r w:rsidRPr="00586308">
        <w:rPr>
          <w:rFonts w:ascii="Times New Roman" w:hAnsi="Times New Roman" w:cs="Times New Roman"/>
          <w:sz w:val="24"/>
          <w:szCs w:val="24"/>
        </w:rPr>
        <w:t>Clasificación de los engranajes cónicos.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89"/>
        <w:gridCol w:w="1264"/>
        <w:gridCol w:w="6041"/>
      </w:tblGrid>
      <w:tr w:rsidR="004E0ED1" w:rsidRPr="00586308" w:rsidTr="00567E8C">
        <w:tc>
          <w:tcPr>
            <w:tcW w:w="2689" w:type="dxa"/>
          </w:tcPr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t>Tipo de engranaje cónico</w:t>
            </w:r>
          </w:p>
        </w:tc>
        <w:tc>
          <w:tcPr>
            <w:tcW w:w="2976" w:type="dxa"/>
          </w:tcPr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t>Descripción</w:t>
            </w:r>
          </w:p>
        </w:tc>
        <w:tc>
          <w:tcPr>
            <w:tcW w:w="2829" w:type="dxa"/>
          </w:tcPr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t>Grafico</w:t>
            </w:r>
          </w:p>
        </w:tc>
      </w:tr>
      <w:tr w:rsidR="004E0ED1" w:rsidRPr="00586308" w:rsidTr="00567E8C">
        <w:tc>
          <w:tcPr>
            <w:tcW w:w="2689" w:type="dxa"/>
            <w:vAlign w:val="center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t>Engranes cónicos rectos</w:t>
            </w:r>
          </w:p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2976" w:type="dxa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noProof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</w:rPr>
              <w:t>Se usan para velocidades en línea de paso de hasta 1000 ft/min(5m/s) cuando el nivel del ruido no es importante considerar.</w:t>
            </w:r>
          </w:p>
        </w:tc>
        <w:tc>
          <w:tcPr>
            <w:tcW w:w="2829" w:type="dxa"/>
            <w:vAlign w:val="center"/>
          </w:tcPr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  <w:lang w:val="es-EC" w:eastAsia="es-EC"/>
              </w:rPr>
              <w:drawing>
                <wp:inline distT="0" distB="0" distL="0" distR="0" wp14:anchorId="74056A89" wp14:editId="0ED4EFFA">
                  <wp:extent cx="4224138" cy="3827068"/>
                  <wp:effectExtent l="0" t="0" r="5080" b="2540"/>
                  <wp:docPr id="17" name="Imagen 17" descr="Engranaje cónico - MARTIN SPROCKET &amp; GEAR - de dientes rectos / con cub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ngranaje cónico - MARTIN SPROCKET &amp; GEAR - de dientes rectos / con cu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0391" cy="3887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ED1" w:rsidRPr="00586308" w:rsidTr="00567E8C">
        <w:tc>
          <w:tcPr>
            <w:tcW w:w="2689" w:type="dxa"/>
            <w:vAlign w:val="center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t>Engranes cónicos espirales</w:t>
            </w:r>
          </w:p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2976" w:type="dxa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noProof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</w:rPr>
              <w:t>Utilizados para desarrollar velocidades mayores y donde si se considere el nivel del ruido</w:t>
            </w:r>
          </w:p>
        </w:tc>
        <w:tc>
          <w:tcPr>
            <w:tcW w:w="2829" w:type="dxa"/>
            <w:vAlign w:val="center"/>
          </w:tcPr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noProof/>
                <w:szCs w:val="24"/>
              </w:rPr>
            </w:pPr>
          </w:p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noProof/>
                <w:szCs w:val="24"/>
              </w:rPr>
            </w:pPr>
          </w:p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  <w:lang w:val="es-EC" w:eastAsia="es-EC"/>
              </w:rPr>
              <w:drawing>
                <wp:inline distT="0" distB="0" distL="0" distR="0" wp14:anchorId="1A06F402" wp14:editId="17CBAE52">
                  <wp:extent cx="3558540" cy="3558540"/>
                  <wp:effectExtent l="0" t="0" r="3810" b="3810"/>
                  <wp:docPr id="18" name="Imagen 18" descr="Engranaje cónico - Machinery Gard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ngranaje cónico - Machinery Gard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137" cy="358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ED1" w:rsidRPr="00586308" w:rsidTr="00567E8C">
        <w:tc>
          <w:tcPr>
            <w:tcW w:w="2689" w:type="dxa"/>
            <w:vAlign w:val="center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 xml:space="preserve">Engranes cónicos </w:t>
            </w:r>
            <w:proofErr w:type="spellStart"/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t>Zerol</w:t>
            </w:r>
            <w:proofErr w:type="spellEnd"/>
          </w:p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2976" w:type="dxa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noProof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</w:rPr>
              <w:t>Es un engrane con dientes curvos y con ángulo de espiral igual a cero. Las cargas de empuje axial permisibles no son tan grandes como para el engrane cónico espiral.</w:t>
            </w:r>
          </w:p>
        </w:tc>
        <w:tc>
          <w:tcPr>
            <w:tcW w:w="2829" w:type="dxa"/>
            <w:vAlign w:val="center"/>
          </w:tcPr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  <w:lang w:val="es-EC" w:eastAsia="es-EC"/>
              </w:rPr>
              <w:drawing>
                <wp:inline distT="0" distB="0" distL="0" distR="0" wp14:anchorId="7BEB3F1A" wp14:editId="0AE0B4F2">
                  <wp:extent cx="3992880" cy="3992880"/>
                  <wp:effectExtent l="0" t="0" r="7620" b="7620"/>
                  <wp:docPr id="19" name="Imagen 19" descr="Catálogo de fabricantes de Zerol Engranaje Cónico de alta calidad y Zerol  Engranaje Cónico en Alibaba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atálogo de fabricantes de Zerol Engranaje Cónico de alta calidad y Zerol  Engranaje Cónico en Alibaba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763" cy="4054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ED1" w:rsidRPr="00586308" w:rsidTr="00567E8C">
        <w:tc>
          <w:tcPr>
            <w:tcW w:w="2689" w:type="dxa"/>
            <w:vAlign w:val="center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t xml:space="preserve">Engranes </w:t>
            </w:r>
            <w:proofErr w:type="spellStart"/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t>hipoidales</w:t>
            </w:r>
            <w:proofErr w:type="spellEnd"/>
          </w:p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</w:p>
        </w:tc>
        <w:tc>
          <w:tcPr>
            <w:tcW w:w="2976" w:type="dxa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noProof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</w:rPr>
              <w:t>Su superficie de paso son hiperboloides de revolución. Utilizado para los diferenciales de automóviles</w:t>
            </w:r>
          </w:p>
        </w:tc>
        <w:tc>
          <w:tcPr>
            <w:tcW w:w="2829" w:type="dxa"/>
            <w:vAlign w:val="center"/>
          </w:tcPr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  <w:lang w:val="es-EC" w:eastAsia="es-EC"/>
              </w:rPr>
              <w:drawing>
                <wp:inline distT="0" distB="0" distL="0" distR="0" wp14:anchorId="698A5BFD" wp14:editId="7BF7DBF6">
                  <wp:extent cx="3930474" cy="3147060"/>
                  <wp:effectExtent l="0" t="0" r="0" b="0"/>
                  <wp:docPr id="20" name="Imagen 20" descr="Engranaje hipoide - Arrow Gear Company - cónico / montado en br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ngranaje hipoide - Arrow Gear Company - cónico / montado en br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8594" cy="3153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ED1" w:rsidRPr="00586308" w:rsidTr="00567E8C">
        <w:tc>
          <w:tcPr>
            <w:tcW w:w="2689" w:type="dxa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lastRenderedPageBreak/>
              <w:t>Engranes espiroidales</w:t>
            </w:r>
          </w:p>
        </w:tc>
        <w:tc>
          <w:tcPr>
            <w:tcW w:w="2976" w:type="dxa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noProof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</w:rPr>
              <w:t xml:space="preserve">Para separaciones mayores, el piñón empieza a parecerse a un tornillo sinfín ahusado y </w:t>
            </w:r>
          </w:p>
        </w:tc>
        <w:tc>
          <w:tcPr>
            <w:tcW w:w="2829" w:type="dxa"/>
          </w:tcPr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noProof/>
                <w:szCs w:val="24"/>
              </w:rPr>
            </w:pPr>
            <w:r w:rsidRPr="00586308">
              <w:rPr>
                <w:rFonts w:ascii="Times New Roman" w:hAnsi="Times New Roman" w:cs="Times New Roman"/>
                <w:noProof/>
                <w:szCs w:val="24"/>
                <w:lang w:val="es-EC" w:eastAsia="es-EC"/>
              </w:rPr>
              <w:drawing>
                <wp:inline distT="0" distB="0" distL="0" distR="0" wp14:anchorId="6EBE7183" wp14:editId="1B15A641">
                  <wp:extent cx="3989081" cy="3101340"/>
                  <wp:effectExtent l="0" t="0" r="0" b="3810"/>
                  <wp:docPr id="21" name="Imagen 21" descr="Engranaje cónico - BevelGear - Nidec Graessner GmbH &amp; Co. KG - hipoide / en  espiral / con cub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ngranaje cónico - BevelGear - Nidec Graessner GmbH &amp; Co. KG - hipoide / en  espiral / con cu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0958" cy="318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ED1" w:rsidRPr="00586308" w:rsidTr="00567E8C">
        <w:tc>
          <w:tcPr>
            <w:tcW w:w="8494" w:type="dxa"/>
            <w:gridSpan w:val="3"/>
          </w:tcPr>
          <w:p w:rsidR="004E0ED1" w:rsidRPr="00586308" w:rsidRDefault="004E0ED1" w:rsidP="00567E8C">
            <w:pPr>
              <w:jc w:val="both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szCs w:val="24"/>
              </w:rPr>
              <w:t>Comparación de engranes cónicos con ejes geométricos con intersección y desplazamiento.</w:t>
            </w:r>
          </w:p>
        </w:tc>
      </w:tr>
      <w:tr w:rsidR="004E0ED1" w:rsidRPr="00586308" w:rsidTr="00567E8C">
        <w:trPr>
          <w:trHeight w:val="1889"/>
        </w:trPr>
        <w:tc>
          <w:tcPr>
            <w:tcW w:w="8494" w:type="dxa"/>
            <w:gridSpan w:val="3"/>
          </w:tcPr>
          <w:p w:rsidR="004E0ED1" w:rsidRPr="00586308" w:rsidRDefault="004E0ED1" w:rsidP="00567E8C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Cs w:val="24"/>
              </w:rPr>
            </w:pPr>
            <w:r w:rsidRPr="00586308">
              <w:rPr>
                <w:rFonts w:ascii="Times New Roman" w:hAnsi="Times New Roman" w:cs="Times New Roman"/>
                <w:b/>
                <w:bCs/>
                <w:noProof/>
                <w:szCs w:val="24"/>
                <w:lang w:val="es-EC" w:eastAsia="es-EC"/>
              </w:rPr>
              <w:drawing>
                <wp:inline distT="0" distB="0" distL="0" distR="0" wp14:anchorId="2897C23D" wp14:editId="61036198">
                  <wp:extent cx="5308218" cy="4617720"/>
                  <wp:effectExtent l="0" t="0" r="698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3898" cy="486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0ED1" w:rsidRPr="00586308" w:rsidRDefault="004E0ED1" w:rsidP="004E0E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E0ED1" w:rsidRPr="00586308" w:rsidRDefault="004E0ED1" w:rsidP="004E0E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6308">
        <w:rPr>
          <w:rFonts w:ascii="Times New Roman" w:hAnsi="Times New Roman" w:cs="Times New Roman"/>
          <w:b/>
          <w:bCs/>
          <w:sz w:val="24"/>
          <w:szCs w:val="24"/>
        </w:rPr>
        <w:t>ESFUERZOS Y RESISTENCIAS EN ENGRANES CÓNICOS</w:t>
      </w:r>
    </w:p>
    <w:p w:rsidR="004E0ED1" w:rsidRPr="00586308" w:rsidRDefault="004E0ED1" w:rsidP="004E0ED1">
      <w:pPr>
        <w:jc w:val="both"/>
        <w:rPr>
          <w:rFonts w:ascii="Times New Roman" w:hAnsi="Times New Roman" w:cs="Times New Roman"/>
          <w:sz w:val="24"/>
          <w:szCs w:val="24"/>
        </w:rPr>
      </w:pPr>
      <w:r w:rsidRPr="00586308">
        <w:rPr>
          <w:rFonts w:ascii="Times New Roman" w:hAnsi="Times New Roman" w:cs="Times New Roman"/>
          <w:sz w:val="24"/>
          <w:szCs w:val="24"/>
        </w:rPr>
        <w:lastRenderedPageBreak/>
        <w:t xml:space="preserve">Ya que es complejo el trabajo con engranes cónicos, cónicos espirales, cónicos </w:t>
      </w:r>
      <w:proofErr w:type="spellStart"/>
      <w:r w:rsidRPr="00586308">
        <w:rPr>
          <w:rFonts w:ascii="Times New Roman" w:hAnsi="Times New Roman" w:cs="Times New Roman"/>
          <w:sz w:val="24"/>
          <w:szCs w:val="24"/>
        </w:rPr>
        <w:t>Zerol</w:t>
      </w:r>
      <w:proofErr w:type="spellEnd"/>
      <w:r w:rsidRPr="005863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308">
        <w:rPr>
          <w:rFonts w:ascii="Times New Roman" w:hAnsi="Times New Roman" w:cs="Times New Roman"/>
          <w:sz w:val="24"/>
          <w:szCs w:val="24"/>
        </w:rPr>
        <w:t>hipoidales</w:t>
      </w:r>
      <w:proofErr w:type="spellEnd"/>
      <w:r w:rsidRPr="00586308">
        <w:rPr>
          <w:rFonts w:ascii="Times New Roman" w:hAnsi="Times New Roman" w:cs="Times New Roman"/>
          <w:sz w:val="24"/>
          <w:szCs w:val="24"/>
        </w:rPr>
        <w:t xml:space="preserve"> y espiroidales, se utilizarán las normas ANSI/AGMAN 2003-B97 que se refieren a engranes rectos. </w:t>
      </w:r>
    </w:p>
    <w:p w:rsidR="004E0ED1" w:rsidRPr="00586308" w:rsidRDefault="004E0ED1" w:rsidP="004E0E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6308">
        <w:rPr>
          <w:rFonts w:ascii="Times New Roman" w:hAnsi="Times New Roman" w:cs="Times New Roman"/>
          <w:b/>
          <w:bCs/>
          <w:sz w:val="24"/>
          <w:szCs w:val="24"/>
        </w:rPr>
        <w:t>ECUACIÓN FUNDAMENTAL DE ESFUERZOS DE CONTACTO</w:t>
      </w:r>
    </w:p>
    <w:p w:rsidR="004E0ED1" w:rsidRPr="00586308" w:rsidRDefault="004E0ED1" w:rsidP="004E0ED1">
      <w:pPr>
        <w:jc w:val="both"/>
        <w:rPr>
          <w:rFonts w:ascii="Times New Roman" w:hAnsi="Times New Roman" w:cs="Times New Roman"/>
          <w:sz w:val="24"/>
          <w:szCs w:val="24"/>
        </w:rPr>
      </w:pPr>
      <w:r w:rsidRPr="00586308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59264" behindDoc="0" locked="0" layoutInCell="1" allowOverlap="1" wp14:anchorId="59C3F057" wp14:editId="4CE81791">
            <wp:simplePos x="0" y="0"/>
            <wp:positionH relativeFrom="column">
              <wp:posOffset>248334</wp:posOffset>
            </wp:positionH>
            <wp:positionV relativeFrom="paragraph">
              <wp:posOffset>14641</wp:posOffset>
            </wp:positionV>
            <wp:extent cx="3036498" cy="1181819"/>
            <wp:effectExtent l="0" t="0" r="0" b="0"/>
            <wp:wrapNone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7379"/>
                    <a:stretch/>
                  </pic:blipFill>
                  <pic:spPr bwMode="auto">
                    <a:xfrm>
                      <a:off x="0" y="0"/>
                      <a:ext cx="3036498" cy="118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ED1" w:rsidRPr="00586308" w:rsidRDefault="004E0ED1" w:rsidP="004E0E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E0ED1" w:rsidRPr="00586308" w:rsidRDefault="004E0ED1" w:rsidP="004E0E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E0ED1" w:rsidRPr="00586308" w:rsidRDefault="004E0ED1" w:rsidP="004E0E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E0ED1" w:rsidRPr="00586308" w:rsidRDefault="004E0ED1" w:rsidP="004E0ED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6308">
        <w:rPr>
          <w:rFonts w:ascii="Times New Roman" w:hAnsi="Times New Roman" w:cs="Times New Roman"/>
          <w:b/>
          <w:bCs/>
          <w:sz w:val="24"/>
          <w:szCs w:val="24"/>
        </w:rPr>
        <w:t>Ecuación del número (resistencia) del esfuerzo de contacto permisible</w:t>
      </w:r>
    </w:p>
    <w:p w:rsidR="004E0ED1" w:rsidRPr="00586308" w:rsidRDefault="004E0ED1" w:rsidP="004E0ED1">
      <w:pPr>
        <w:jc w:val="both"/>
        <w:rPr>
          <w:rFonts w:ascii="Times New Roman" w:hAnsi="Times New Roman" w:cs="Times New Roman"/>
          <w:sz w:val="24"/>
          <w:szCs w:val="24"/>
        </w:rPr>
      </w:pPr>
      <w:r w:rsidRPr="00586308">
        <w:rPr>
          <w:rFonts w:ascii="Times New Roman" w:hAnsi="Times New Roman" w:cs="Times New Roman"/>
          <w:b/>
          <w:bCs/>
          <w:noProof/>
          <w:sz w:val="24"/>
          <w:szCs w:val="24"/>
          <w:lang w:val="es-EC" w:eastAsia="es-EC"/>
        </w:rPr>
        <w:drawing>
          <wp:inline distT="0" distB="0" distL="0" distR="0" wp14:anchorId="7EDCE6F8" wp14:editId="7B95BB5D">
            <wp:extent cx="2789783" cy="1230787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890" cy="123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ED1" w:rsidRPr="00586308" w:rsidRDefault="004E0ED1" w:rsidP="004E0ED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6308">
        <w:rPr>
          <w:rFonts w:ascii="Times New Roman" w:hAnsi="Times New Roman" w:cs="Times New Roman"/>
          <w:b/>
          <w:bCs/>
          <w:sz w:val="24"/>
          <w:szCs w:val="24"/>
        </w:rPr>
        <w:t xml:space="preserve">Esfuerzo de flexión </w:t>
      </w:r>
    </w:p>
    <w:p w:rsidR="004E0ED1" w:rsidRPr="00586308" w:rsidRDefault="004E0ED1" w:rsidP="004E0ED1">
      <w:pPr>
        <w:jc w:val="both"/>
        <w:rPr>
          <w:rFonts w:ascii="Times New Roman" w:hAnsi="Times New Roman" w:cs="Times New Roman"/>
          <w:sz w:val="24"/>
          <w:szCs w:val="24"/>
        </w:rPr>
      </w:pPr>
      <w:r w:rsidRPr="00586308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3A41E7FB" wp14:editId="0D6D5224">
            <wp:extent cx="2389341" cy="112084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218" cy="115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ED1" w:rsidRPr="00586308" w:rsidRDefault="004E0ED1" w:rsidP="004E0ED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es-EC"/>
        </w:rPr>
      </w:pPr>
      <w:r w:rsidRPr="00586308">
        <w:rPr>
          <w:rFonts w:ascii="Times New Roman" w:hAnsi="Times New Roman" w:cs="Times New Roman"/>
          <w:b/>
          <w:bCs/>
          <w:sz w:val="24"/>
          <w:szCs w:val="24"/>
        </w:rPr>
        <w:t>Esfuerzo de flexión permisible</w:t>
      </w: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586308">
        <w:rPr>
          <w:rFonts w:ascii="Times New Roman" w:hAnsi="Times New Roman" w:cs="Times New Roman"/>
          <w:b/>
          <w:bCs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60288" behindDoc="0" locked="0" layoutInCell="1" allowOverlap="1" wp14:anchorId="5EF10250" wp14:editId="5EF29240">
            <wp:simplePos x="0" y="0"/>
            <wp:positionH relativeFrom="margin">
              <wp:posOffset>32567</wp:posOffset>
            </wp:positionH>
            <wp:positionV relativeFrom="paragraph">
              <wp:posOffset>26670</wp:posOffset>
            </wp:positionV>
            <wp:extent cx="1716657" cy="1164566"/>
            <wp:effectExtent l="0" t="0" r="0" b="0"/>
            <wp:wrapNone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15"/>
                    <a:srcRect r="55750"/>
                    <a:stretch/>
                  </pic:blipFill>
                  <pic:spPr bwMode="auto">
                    <a:xfrm>
                      <a:off x="0" y="0"/>
                      <a:ext cx="1716657" cy="116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857DC1" w:rsidRDefault="00857DC1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:rsidR="004C1424" w:rsidRPr="004E0ED1" w:rsidRDefault="004E0ED1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4E0ED1">
        <w:rPr>
          <w:rFonts w:ascii="Times New Roman" w:hAnsi="Times New Roman" w:cs="Times New Roman"/>
          <w:b/>
          <w:bCs/>
          <w:sz w:val="24"/>
          <w:szCs w:val="24"/>
          <w:lang w:val="es-EC"/>
        </w:rPr>
        <w:lastRenderedPageBreak/>
        <w:t xml:space="preserve">FACTORES DE LA ECUACIÓN </w:t>
      </w:r>
      <w:r w:rsidR="004C1424" w:rsidRPr="004E0ED1">
        <w:rPr>
          <w:rFonts w:ascii="Times New Roman" w:hAnsi="Times New Roman" w:cs="Times New Roman"/>
          <w:b/>
          <w:bCs/>
          <w:sz w:val="24"/>
          <w:szCs w:val="24"/>
          <w:lang w:val="es-EC"/>
        </w:rPr>
        <w:t>AGMA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s-EC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Factor de sobrecarga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 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EA1A74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El factor de sobrecarga tiene en cuenta una tolerancia para cualquier carga en exceso externamente aplicada a la carga transmitida nominal. Se incluye la tabla 15-2 del apéndice A de la norma 2003-B97 para su guía.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0FFAC102" wp14:editId="7337C9BC">
            <wp:extent cx="5400040" cy="1571625"/>
            <wp:effectExtent l="0" t="0" r="0" b="9525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6B9D059C-D20B-491D-9061-DDE0436839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6B9D059C-D20B-491D-9061-DDE0436839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 xml:space="preserve">Factores de seguridad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H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 y 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F</m:t>
            </m:r>
          </m:sub>
        </m:sSub>
      </m:oMath>
    </w:p>
    <w:p w:rsidR="00EA1A74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Los factores de seguridad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y 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F</m:t>
            </m:r>
          </m:sub>
        </m:sSub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, como se definen en la norma 2003-B97, son ajustes a la resistencia, no a la carga, y en consecuencia no se pueden utilizar para evaluar (por comparación), si la amenaza es por fatiga debida a desgaste o por fatiga debida a flexión. Puesto que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</m:t>
        </m:r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es el mismo para el piñón y la rueda, el cotejo de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H</m:t>
                </m:r>
              </m:sub>
            </m:sSub>
          </m:e>
        </m:rad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</m:t>
        </m:r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con respecto a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F</m:t>
            </m:r>
          </m:sub>
        </m:sSub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 permite la comparación directa.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tbl>
      <w:tblPr>
        <w:tblStyle w:val="Cuadrculadetablaclara"/>
        <w:tblW w:w="577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20" w:firstRow="1" w:lastRow="0" w:firstColumn="0" w:lastColumn="0" w:noHBand="0" w:noVBand="1"/>
      </w:tblPr>
      <w:tblGrid>
        <w:gridCol w:w="2825"/>
        <w:gridCol w:w="2949"/>
      </w:tblGrid>
      <w:tr w:rsidR="004C1424" w:rsidRPr="004E0ED1" w:rsidTr="0005295B">
        <w:trPr>
          <w:trHeight w:val="798"/>
          <w:jc w:val="center"/>
        </w:trPr>
        <w:tc>
          <w:tcPr>
            <w:tcW w:w="2825" w:type="dxa"/>
            <w:vAlign w:val="center"/>
            <w:hideMark/>
          </w:tcPr>
          <w:p w:rsidR="004C1424" w:rsidRPr="004E0ED1" w:rsidRDefault="004C1424" w:rsidP="004E0E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4"/>
                <w:szCs w:val="24"/>
                <w:lang w:val="es-EC"/>
              </w:rPr>
            </w:pPr>
            <w:r w:rsidRPr="004E0ED1"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4"/>
                <w:szCs w:val="24"/>
                <w:lang w:val="es-MX"/>
              </w:rPr>
              <w:t>Factor de seguridad a la flexión</w:t>
            </w:r>
          </w:p>
        </w:tc>
        <w:tc>
          <w:tcPr>
            <w:tcW w:w="2949" w:type="dxa"/>
            <w:vAlign w:val="center"/>
            <w:hideMark/>
          </w:tcPr>
          <w:p w:rsidR="004C1424" w:rsidRPr="004E0ED1" w:rsidRDefault="004C1424" w:rsidP="004E0E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4"/>
                <w:szCs w:val="24"/>
                <w:lang w:val="es-EC"/>
              </w:rPr>
            </w:pPr>
            <w:r w:rsidRPr="004E0ED1"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4"/>
                <w:szCs w:val="24"/>
                <w:lang w:val="es-MX"/>
              </w:rPr>
              <w:t>Factor de seguridad por desgaste</w:t>
            </w:r>
          </w:p>
        </w:tc>
      </w:tr>
      <w:tr w:rsidR="004C1424" w:rsidRPr="004E0ED1" w:rsidTr="0005295B">
        <w:trPr>
          <w:trHeight w:val="798"/>
          <w:jc w:val="center"/>
        </w:trPr>
        <w:tc>
          <w:tcPr>
            <w:tcW w:w="2825" w:type="dxa"/>
            <w:vAlign w:val="center"/>
            <w:hideMark/>
          </w:tcPr>
          <w:p w:rsidR="004C1424" w:rsidRPr="004E0ED1" w:rsidRDefault="00567E8C" w:rsidP="004E0E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4"/>
                <w:szCs w:val="24"/>
                <w:lang w:val="es-EC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H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perm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σ</m:t>
                    </m:r>
                  </m:den>
                </m:f>
              </m:oMath>
            </m:oMathPara>
          </w:p>
        </w:tc>
        <w:tc>
          <w:tcPr>
            <w:tcW w:w="2949" w:type="dxa"/>
            <w:vAlign w:val="center"/>
            <w:hideMark/>
          </w:tcPr>
          <w:p w:rsidR="004C1424" w:rsidRPr="004E0ED1" w:rsidRDefault="00567E8C" w:rsidP="004E0E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4"/>
                <w:szCs w:val="24"/>
                <w:lang w:val="es-EC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H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bCs/>
                                    <w:i/>
                                    <w:iCs/>
                                    <w:sz w:val="24"/>
                                    <w:szCs w:val="24"/>
                                    <w:lang w:val="es-MX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s-MX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s-MX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perm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c</m:t>
                        </m:r>
                      </m:sub>
                    </m:sSub>
                  </m:den>
                </m:f>
              </m:oMath>
            </m:oMathPara>
          </w:p>
          <w:p w:rsidR="004C1424" w:rsidRPr="004E0ED1" w:rsidRDefault="004C1424" w:rsidP="004E0E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i/>
                <w:iCs/>
                <w:sz w:val="24"/>
                <w:szCs w:val="24"/>
                <w:lang w:val="es-EC"/>
              </w:rPr>
            </w:pPr>
          </w:p>
        </w:tc>
      </w:tr>
    </w:tbl>
    <w:p w:rsidR="0005295B" w:rsidRDefault="0005295B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Factor dinámico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v</m:t>
            </m:r>
          </m:sub>
        </m:sSub>
      </m:oMath>
    </w:p>
    <w:p w:rsidR="00EA1A74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 xml:space="preserve">En la norma AGMA 2003-C87 se cambió la definición de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v</m:t>
            </m:r>
          </m:sub>
        </m:sSub>
      </m:oMath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 xml:space="preserve"> por su recíproco pero se conservó el mismo símbolo</w:t>
      </w:r>
    </w:p>
    <w:p w:rsidR="00EA1A74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 xml:space="preserve">El factor dinámico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v</m:t>
            </m:r>
          </m:sub>
        </m:sSub>
      </m:oMath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 xml:space="preserve"> tiene en cuenta el efecto de la calidad del diente del engrane, relacionada con la velocidad y carga, y el aumento de esfuerzo que resulta.</w:t>
      </w:r>
    </w:p>
    <w:p w:rsidR="00EA1A74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 xml:space="preserve">La AGMA utiliza un número de exactitud de transmisión Q para describir la precisión con que los perfiles de los dientes están espaciados a lo largo del círculo de paso. La figura 15-5 muestra de manera gráfica cómo la velocidad en la línea de paso y el número </w:t>
      </w: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lastRenderedPageBreak/>
        <w:t xml:space="preserve">de exactitud de transmisión se relacionan con el factor dinámico </w:t>
      </w:r>
      <w:proofErr w:type="gramStart"/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K .</w:t>
      </w:r>
      <w:proofErr w:type="gramEnd"/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 xml:space="preserve"> Los ajustes de curva son</w:t>
      </w:r>
      <w:r w:rsidR="004C1424"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: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0163A578" wp14:editId="47538EAA">
            <wp:extent cx="4332514" cy="2338457"/>
            <wp:effectExtent l="0" t="0" r="0" b="5080"/>
            <wp:docPr id="5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72854C64-268C-4C84-B371-C987B596CBB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72854C64-268C-4C84-B371-C987B596CBB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654" cy="23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24" w:rsidRPr="004E0ED1" w:rsidRDefault="00567E8C" w:rsidP="004E0E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A+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t</m:t>
                            </m:r>
                          </m:sub>
                        </m:sSub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sup>
        </m:sSup>
      </m:oMath>
      <w:r w:rsidR="004C1424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ab/>
      </w:r>
      <w:r w:rsidR="004C1424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ab/>
      </w:r>
      <w:r w:rsidR="004C1424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ab/>
      </w:r>
      <w:r w:rsidR="004C1424"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EEUU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C1424" w:rsidRPr="004E0ED1" w:rsidRDefault="00567E8C" w:rsidP="004E0ED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A+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200*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et</m:t>
                            </m:r>
                          </m:sub>
                        </m:sSub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sup>
        </m:sSup>
      </m:oMath>
      <w:r w:rsidR="004C1424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ab/>
      </w:r>
      <w:r w:rsidR="004C1424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ab/>
      </w:r>
      <w:r w:rsidR="004C1424"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SI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>Donde: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A=50+56(1-B)</m:t>
          </m:r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B=0,25 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(12-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2/3</m:t>
              </m:r>
            </m:sup>
          </m:sSup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y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t</m:t>
            </m:r>
          </m:sub>
        </m:sSub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et</m:t>
            </m:r>
          </m:sub>
        </m:sSub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) es la velocidad en la línea de paso en el diámetro de paso exterior, expresada en pie/min (m/s):</w:t>
      </w: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p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12</m:t>
            </m:r>
          </m:den>
        </m:f>
      </m:oMath>
      <w:r w:rsidR="004C1424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ab/>
      </w:r>
      <w:r w:rsidR="004C1424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ab/>
        <w:t xml:space="preserve">   </w:t>
      </w:r>
      <w:r w:rsidR="004C1424"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EEUU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et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=5,236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-5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1</m:t>
            </m:r>
          </m:sub>
        </m:sSub>
      </m:oMath>
      <w:r w:rsidR="004C1424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 </w:t>
      </w:r>
      <w:r w:rsidR="004C1424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ab/>
      </w:r>
      <w:r w:rsidR="004C1424"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SI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EC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Factor de tamaño por resistencia a picadura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EEUU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0,5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0,125F+0,4375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                     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F&lt;0,5 plg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0,5≤F≤4,5 plg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F&gt;4,5 plg</m:t>
                  </m:r>
                </m:e>
              </m:eqArr>
            </m:e>
          </m:d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SI</w:t>
      </w: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0,5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0,00492b+0,4375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                     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b&lt;12,7 mm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12,7≤b≤114,3 mm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b&gt;114,3 mm</m:t>
                  </m:r>
                </m:e>
              </m:eqArr>
            </m:e>
          </m:d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  <w:t xml:space="preserve">Factor de tamaño por flexión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x</m:t>
                </m:r>
              </m:sub>
            </m:sSub>
          </m:e>
        </m:d>
      </m:oMath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EC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EEUU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(0.4867+0,2132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d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0,5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                  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0,5≤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16 dientes</m:t>
                    </m: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plg</m:t>
                    </m:r>
                  </m:den>
                </m:f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b&gt;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16 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dientes</m:t>
                    </m: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plg</m:t>
                    </m:r>
                  </m:den>
                </m:f>
              </m:e>
            </m:mr>
          </m:m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SI</w:t>
      </w: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0,5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0.4867+0,008339 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et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                  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et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&lt;1,6 mm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1,6≤m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et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≤50 mm</m:t>
                </m:r>
              </m:e>
            </m:mr>
          </m:m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  <w:t xml:space="preserve">Factor de distribución de carga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m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Hβ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</m:t>
        </m:r>
      </m:oMath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EEUU</w:t>
      </w: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mb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+0,0036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 </m:t>
          </m:r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hAnsi="Times New Roman" w:cs="Times New Roman"/>
          <w:bCs/>
          <w:i/>
          <w:iCs/>
          <w:sz w:val="24"/>
          <w:szCs w:val="24"/>
          <w:lang w:val="es-MX"/>
        </w:rPr>
        <w:t>Unidades SI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Hβ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=K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mb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+5,6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-6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>Donde:</w:t>
      </w: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mb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EC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EC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1,00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1,10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1,25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                     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EC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ambos miembros montados separados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un miembro montado separado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ningún miembro montado separado</m:t>
                    </m:r>
                  </m:e>
                </m:mr>
              </m:m>
            </m:e>
          </m:d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Factor de coronamiento por picadura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xc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Los dientes de la mayoría de los engranes cónicos se coronan en la dirección longitudinal durante su fabricación para dar cabida a la deflexión de los montajes.</w:t>
      </w: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xc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1,5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2,0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                  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dientes coronados en forma adecuada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o dientes más grandes no coronados</m:t>
                    </m:r>
                  </m:e>
                </m:mr>
              </m:m>
            </m:e>
          </m:d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  <w:t xml:space="preserve">Factor de curvatura en el sentido longitudinal de resistencia a la flexión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Kx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β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</m:t>
        </m:r>
      </m:oMath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>Para engranes cónicos rectos</w:t>
      </w: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EC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EC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EC"/>
            </w:rPr>
            <m:t> = 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EC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l-GR"/>
                </w:rPr>
                <m:t>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 = 1</m:t>
          </m:r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 xml:space="preserve">Factor de geometría de resistencia a la picadura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:rsidR="00EA1A74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En la figura 15-6 se presenta el factor geométrico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I 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 </m:t>
        </m:r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para engranes cónicos rectos con un ángulo de presión de 20° y un ángulo de eje de 90°. Localice la ordenada de la figura con el número de dientes del piñón, muévase al número del contorno del número de dientes de la corona y lea el factor en la abscisa.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56F0FC65" wp14:editId="3E83EC66">
            <wp:extent cx="5400040" cy="2815590"/>
            <wp:effectExtent l="0" t="0" r="0" b="3810"/>
            <wp:docPr id="1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D64693D-D67A-4639-B973-E45256BBB6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D64693D-D67A-4639-B973-E45256BBB6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  <w:t xml:space="preserve">Factor de geometría de resistencia a la flexión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J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J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</m:t>
        </m:r>
      </m:oMath>
    </w:p>
    <w:p w:rsidR="00EA1A74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En la figura 15-7 se ilustra el factor de geometría J para engranes cónicos rectos con un ángulo de presión de 20° y un ángulo de eje de 90°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28C96EF1" wp14:editId="0E8F29B5">
            <wp:extent cx="5400040" cy="3173730"/>
            <wp:effectExtent l="0" t="0" r="0" b="7620"/>
            <wp:docPr id="9" name="Marcador de contenido 8">
              <a:extLst xmlns:a="http://schemas.openxmlformats.org/drawingml/2006/main">
                <a:ext uri="{FF2B5EF4-FFF2-40B4-BE49-F238E27FC236}">
                  <a16:creationId xmlns:a16="http://schemas.microsoft.com/office/drawing/2014/main" id="{FA097EE5-3FEF-450E-9B7D-42FF44A33DA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rcador de contenido 8">
                      <a:extLst>
                        <a:ext uri="{FF2B5EF4-FFF2-40B4-BE49-F238E27FC236}">
                          <a16:creationId xmlns:a16="http://schemas.microsoft.com/office/drawing/2014/main" id="{FA097EE5-3FEF-450E-9B7D-42FF44A33DA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  <w:t xml:space="preserve">Factor de ciclos de esfuerzo de resistencia a la picadura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L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NT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</m:t>
        </m:r>
      </m:oMath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3,4822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-0,0602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                              </m:t>
                  </m:r>
                </m:e>
              </m:eqAr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≤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4</m:t>
                    </m:r>
                  </m:sup>
                </m:sSup>
              </m:e>
            </m:mr>
            <m:m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≤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sup>
                </m:sSup>
              </m:e>
            </m:mr>
          </m:m>
        </m:oMath>
      </m:oMathPara>
    </w:p>
    <w:p w:rsidR="004C1424" w:rsidRPr="004E0ED1" w:rsidRDefault="00567E8C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3,4822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-0,0602</m:t>
                      </m:r>
                    </m:sup>
                  </m:sSubSup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                               </m:t>
              </m: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≤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4</m:t>
                    </m:r>
                  </m:sup>
                </m:sSup>
              </m:e>
            </m:mr>
            <m:m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≤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≤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10</m:t>
                    </m:r>
                  </m:sup>
                </m:sSup>
              </m:e>
            </m:mr>
          </m:m>
        </m:oMath>
      </m:oMathPara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Vea la figura 15-8 donde se encuentra una representación gráfica de las ecuaciones.</w:t>
      </w: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C1424" w:rsidRPr="004E0ED1" w:rsidRDefault="004C1424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60083471" wp14:editId="72D45564">
            <wp:extent cx="5400040" cy="3846830"/>
            <wp:effectExtent l="0" t="0" r="0" b="1270"/>
            <wp:docPr id="2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AD58D1B-5CA2-4F29-B42C-631A4D0B06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AD58D1B-5CA2-4F29-B42C-631A4D0B06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  <w:t xml:space="preserve">Factor de ciclos de esfuerzo de resistencia a la flexión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L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NT</m:t>
                </m:r>
              </m:sub>
            </m:sSub>
          </m:e>
        </m:d>
      </m:oMath>
    </w:p>
    <w:p w:rsidR="005D5795" w:rsidRPr="004E0ED1" w:rsidRDefault="005D5795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</w:p>
    <w:p w:rsidR="004E0ED1" w:rsidRPr="004E0ED1" w:rsidRDefault="00567E8C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2,7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6,1514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-0,1182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1,6831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-0,0323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1,3558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-0,0178</m:t>
                      </m:r>
                    </m:sup>
                  </m:sSubSup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                      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EC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3(10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)</m:t>
                    </m:r>
                  </m:e>
                </m:mr>
                <m:m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EC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3(10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)≤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≤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10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  general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3(10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)≤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≤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10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   crítico</m:t>
                        </m:r>
                      </m:e>
                    </m:eqArr>
                  </m:e>
                </m:mr>
              </m:m>
            </m:e>
          </m:d>
        </m:oMath>
      </m:oMathPara>
    </w:p>
    <w:p w:rsidR="004E0ED1" w:rsidRPr="004E0ED1" w:rsidRDefault="00567E8C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2,7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6,1514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-0,1182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1,6831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-0,0323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1,3558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  <w:lang w:val="es-MX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MX"/>
                        </w:rPr>
                        <m:t>-0,0323</m:t>
                      </m:r>
                    </m:sup>
                  </m:sSubSup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                      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EC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3(10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)</m:t>
                    </m:r>
                  </m:e>
                </m:mr>
                <m:m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iCs/>
                            <w:sz w:val="24"/>
                            <w:szCs w:val="24"/>
                            <w:lang w:val="es-EC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3(10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)≤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≤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10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  general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3(10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)≤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≤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es-MX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s-MX"/>
                              </w:rPr>
                              <m:t>10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s-MX"/>
                          </w:rPr>
                          <m:t>   crítico</m:t>
                        </m:r>
                      </m:e>
                    </m:eqArr>
                  </m:e>
                </m:mr>
              </m:m>
            </m:e>
          </m:d>
        </m:oMath>
      </m:oMathPara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lastRenderedPageBreak/>
        <w:drawing>
          <wp:inline distT="0" distB="0" distL="0" distR="0" wp14:anchorId="3E5B471A" wp14:editId="5F0AADEC">
            <wp:extent cx="5400040" cy="3523615"/>
            <wp:effectExtent l="0" t="0" r="0" b="635"/>
            <wp:docPr id="3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2001439F-4974-46B3-B37A-8005984620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2001439F-4974-46B3-B37A-8005984620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  <w:t xml:space="preserve">Factor de relación de dureza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W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</m:t>
        </m:r>
      </m:oMath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</w:p>
    <w:p w:rsidR="004E0ED1" w:rsidRPr="004E0ED1" w:rsidRDefault="00567E8C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=1+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(N/n-1)</m:t>
        </m:r>
      </m:oMath>
      <w:r w:rsidR="004E0ED1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 xml:space="preserve">    </w:t>
      </w:r>
      <w:r w:rsidR="004E0ED1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=0,00898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BP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BG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-0,00829</m:t>
        </m:r>
      </m:oMath>
    </w:p>
    <w:p w:rsidR="004E0ED1" w:rsidRPr="004E0ED1" w:rsidRDefault="00567E8C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=1+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/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-1)</m:t>
        </m:r>
      </m:oMath>
      <w:r w:rsidR="004E0ED1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=0,00898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B1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4"/>
                        <w:szCs w:val="24"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s-MX"/>
                      </w:rPr>
                      <m:t>B2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-0,00829</m:t>
        </m:r>
      </m:oMath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Las ecuaciones anteriores son válidas cuando</w:t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1.2 ≤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BP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/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BG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≤1.7 (1.2≤ 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B1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/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B2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 ≤1.7).</m:t>
          </m:r>
        </m:oMath>
      </m:oMathPara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En la figura 15-10 se exhiben de manera gráfica las ecuaciones expuestas</w:t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447F6AE1" wp14:editId="52B7D3C2">
            <wp:extent cx="5400040" cy="2706370"/>
            <wp:effectExtent l="0" t="0" r="0" b="0"/>
            <wp:docPr id="4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8565D5D0-DB7E-494B-AAE8-2BC2DCE3341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8565D5D0-DB7E-494B-AAE8-2BC2DCE3341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lastRenderedPageBreak/>
        <w:t xml:space="preserve">Cuando un piñón con superficie endurecida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(48 HRC o mayor) </m:t>
        </m:r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opera con una corona completamente endurecida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(180≤ HB≤ 400) </m:t>
        </m:r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se presenta un efecto de endurecimiento por trabajo. El factor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 </m:t>
        </m:r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 xml:space="preserve">varía con la rugosidad superficial del piñón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 </m:t>
        </m:r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y la dureza del engrane acoplado:</w:t>
      </w:r>
    </w:p>
    <w:p w:rsidR="005D5795" w:rsidRPr="004E0ED1" w:rsidRDefault="005D5795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E0ED1" w:rsidRPr="004E0ED1" w:rsidRDefault="00567E8C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=1+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(450-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BG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</m:t>
        </m:r>
      </m:oMath>
      <w:r w:rsidR="004E0ED1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 xml:space="preserve">    </w:t>
      </w:r>
      <w:r w:rsidR="004E0ED1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=0,00075 exp⁡(-0,0122 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</m:t>
        </m:r>
      </m:oMath>
    </w:p>
    <w:p w:rsidR="004E0ED1" w:rsidRPr="004E0ED1" w:rsidRDefault="00567E8C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=1+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(450-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B2</m:t>
            </m:r>
          </m:sub>
        </m:sSub>
      </m:oMath>
      <w:r w:rsidR="004E0ED1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>)</w:t>
      </w:r>
      <w:r w:rsidR="004E0ED1"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=0,00075 exp⁡(-0,52 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</m:t>
        </m:r>
      </m:oMath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>Donde:</w:t>
      </w:r>
    </w:p>
    <w:p w:rsidR="005D5795" w:rsidRPr="004E0ED1" w:rsidRDefault="005D5795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E0ED1" w:rsidRPr="004E0ED1" w:rsidRDefault="00567E8C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a1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=Rugosidad superficial del piñon, μplg (μm)</m:t>
          </m:r>
        </m:oMath>
      </m:oMathPara>
    </w:p>
    <w:p w:rsidR="004E0ED1" w:rsidRPr="005D5795" w:rsidRDefault="00567E8C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s-MX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BG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(H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B2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)=Dureza Brinell mínima</m:t>
          </m:r>
        </m:oMath>
      </m:oMathPara>
    </w:p>
    <w:p w:rsidR="005D5795" w:rsidRPr="005D5795" w:rsidRDefault="005D5795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 xml:space="preserve">Vea la figura 15-11 de pares de engranes de acero </w:t>
      </w:r>
      <w:proofErr w:type="spellStart"/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>carburizado</w:t>
      </w:r>
      <w:proofErr w:type="spellEnd"/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 xml:space="preserve"> de rugosidad aproximadamente igual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  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  1</m:t>
        </m:r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  <w:t>.</w:t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066CA558" wp14:editId="659269AB">
            <wp:extent cx="5083628" cy="2396550"/>
            <wp:effectExtent l="0" t="0" r="3175" b="3810"/>
            <wp:docPr id="6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5470E0A1-85A7-43D4-A369-A190E6380E8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5470E0A1-85A7-43D4-A369-A190E6380E8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745" cy="23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pt-BR"/>
        </w:rPr>
      </w:pPr>
    </w:p>
    <w:p w:rsid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  <w:lang w:val="pt-BR"/>
        </w:rPr>
      </w:pPr>
      <w:proofErr w:type="spellStart"/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pt-BR"/>
        </w:rPr>
        <w:t>Factor</w:t>
      </w:r>
      <w:proofErr w:type="spellEnd"/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pt-BR"/>
        </w:rPr>
        <w:t xml:space="preserve"> de temperatura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θ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 )</m:t>
        </m:r>
      </m:oMath>
    </w:p>
    <w:p w:rsidR="006528EF" w:rsidRPr="004E0ED1" w:rsidRDefault="006528EF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pt-BR"/>
        </w:rPr>
      </w:pPr>
    </w:p>
    <w:p w:rsidR="004E0ED1" w:rsidRPr="004E0ED1" w:rsidRDefault="00567E8C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(460+t)/710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              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 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32°F≤t≤250°F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t&gt;250°F</m:t>
                </m:r>
              </m:e>
            </m:mr>
          </m:m>
        </m:oMath>
      </m:oMathPara>
    </w:p>
    <w:p w:rsidR="004E0ED1" w:rsidRPr="006528EF" w:rsidRDefault="00567E8C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(273+θ)/393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              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 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0°C≤θ≤120°C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θ&gt;120°C</m:t>
                </m:r>
              </m:e>
            </m:mr>
          </m:m>
        </m:oMath>
      </m:oMathPara>
    </w:p>
    <w:p w:rsidR="006528EF" w:rsidRPr="004E0ED1" w:rsidRDefault="006528EF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  <w:lang w:val="es-MX"/>
        </w:rPr>
        <w:t xml:space="preserve">Factores de confiabilidad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 y 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(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</m:t>
        </m:r>
      </m:oMath>
    </w:p>
    <w:p w:rsidR="00EA1A74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lastRenderedPageBreak/>
        <w:t xml:space="preserve">En la tabla 15-3 se proporcionan los factores de confiabilidad. Observe que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R</m:t>
                </m:r>
              </m:sub>
            </m:sSub>
          </m:e>
        </m:rad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y 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 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  <w:lang w:val="es-MX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sz w:val="24"/>
                    <w:szCs w:val="24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Z</m:t>
                </m:r>
              </m:sub>
            </m:sSub>
          </m:e>
        </m:rad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</m:t>
        </m:r>
      </m:oMath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. Las ecuaciones de la interpolación logarítmica están dadas por</w:t>
      </w:r>
    </w:p>
    <w:p w:rsidR="006528EF" w:rsidRPr="004E0ED1" w:rsidRDefault="006528EF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E0ED1" w:rsidRPr="006528EF" w:rsidRDefault="00567E8C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  <w:lang w:val="es-MX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0,50-0,25 log⁡(1-R)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0,70-0,15 log⁡(1-R)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                  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  <w:lang w:val="es-MX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0,99≤R≤0,999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s-MX"/>
                  </w:rPr>
                  <m:t>0,90≤R≤0,99</m:t>
                </m:r>
              </m:e>
            </m:mr>
          </m:m>
        </m:oMath>
      </m:oMathPara>
    </w:p>
    <w:p w:rsidR="006528EF" w:rsidRPr="004E0ED1" w:rsidRDefault="006528EF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MX"/>
        </w:rPr>
        <w:t>La confiabilidad de los números de esfuerzo (fatiga) permisibles que se proporcionan en las tablas 15-4, 15-5, 15-6 y 15-7 es de 0.99.</w:t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60046E24" wp14:editId="09501BC4">
            <wp:extent cx="4632437" cy="1973580"/>
            <wp:effectExtent l="0" t="0" r="0" b="7620"/>
            <wp:docPr id="8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92EEFAA7-F422-4977-A207-5D672B5336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92EEFAA7-F422-4977-A207-5D672B5336E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575" cy="19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3380637C" wp14:editId="3320A62D">
            <wp:extent cx="4640580" cy="2507463"/>
            <wp:effectExtent l="0" t="0" r="7620" b="7620"/>
            <wp:docPr id="10" name="Marcador de contenido 8">
              <a:extLst xmlns:a="http://schemas.openxmlformats.org/drawingml/2006/main">
                <a:ext uri="{FF2B5EF4-FFF2-40B4-BE49-F238E27FC236}">
                  <a16:creationId xmlns:a16="http://schemas.microsoft.com/office/drawing/2014/main" id="{461F8191-55BA-442D-A28A-207A78E9E8E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rcador de contenido 8">
                      <a:extLst>
                        <a:ext uri="{FF2B5EF4-FFF2-40B4-BE49-F238E27FC236}">
                          <a16:creationId xmlns:a16="http://schemas.microsoft.com/office/drawing/2014/main" id="{461F8191-55BA-442D-A28A-207A78E9E8E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721" cy="251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lastRenderedPageBreak/>
        <w:drawing>
          <wp:inline distT="0" distB="0" distL="0" distR="0" wp14:anchorId="1A0ED592" wp14:editId="6E1868E8">
            <wp:extent cx="4701540" cy="2273922"/>
            <wp:effectExtent l="0" t="0" r="3810" b="0"/>
            <wp:docPr id="11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E1C4984B-BB66-465C-AF75-12B87A9805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E1C4984B-BB66-465C-AF75-12B87A9805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512" cy="22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01E98393" wp14:editId="55029E5C">
            <wp:extent cx="4513428" cy="2271576"/>
            <wp:effectExtent l="0" t="0" r="1905" b="0"/>
            <wp:docPr id="12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9C3283A6-1D05-43B2-A626-2BBED8DCFF5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9C3283A6-1D05-43B2-A626-2BBED8DCFF5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80" cy="22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Pr="004E0ED1" w:rsidRDefault="004E0ED1" w:rsidP="004E0E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bCs/>
          <w:i/>
          <w:iCs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bCs/>
          <w:i/>
          <w:iCs/>
          <w:noProof/>
          <w:sz w:val="24"/>
          <w:szCs w:val="24"/>
          <w:lang w:val="es-EC" w:eastAsia="es-EC"/>
        </w:rPr>
        <w:drawing>
          <wp:inline distT="0" distB="0" distL="0" distR="0" wp14:anchorId="46CB4E58" wp14:editId="59950101">
            <wp:extent cx="4676322" cy="2391501"/>
            <wp:effectExtent l="0" t="0" r="0" b="8890"/>
            <wp:docPr id="14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F489C8A1-9665-402E-9D48-B45FF56484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F489C8A1-9665-402E-9D48-B45FF56484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14" cy="24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EF" w:rsidRDefault="006528EF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br w:type="page"/>
      </w:r>
    </w:p>
    <w:p w:rsidR="004E0ED1" w:rsidRPr="004E0ED1" w:rsidRDefault="004E0ED1" w:rsidP="004E0ED1">
      <w:pPr>
        <w:spacing w:line="360" w:lineRule="auto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4E0ED1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 xml:space="preserve">Coeficiente elástico de resistencia a picadura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sub>
            </m:sSub>
          </m:e>
        </m:d>
      </m:oMath>
    </w:p>
    <w:p w:rsidR="004E0ED1" w:rsidRPr="004E0ED1" w:rsidRDefault="00567E8C" w:rsidP="004E0ED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EC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EC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EC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s-EC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s-EC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EC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EC"/>
                    </w:rPr>
                    <m:t>π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s-EC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s-EC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s-EC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1-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p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s-EC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EC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s-EC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s-EC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1-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s-EC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G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</m:e>
          </m:rad>
        </m:oMath>
      </m:oMathPara>
    </w:p>
    <w:p w:rsidR="004E0ED1" w:rsidRPr="004E0ED1" w:rsidRDefault="00567E8C" w:rsidP="004E0ED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EC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s-EC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s-EC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s-EC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s-EC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EC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EC"/>
                    </w:rPr>
                    <m:t>π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s-EC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s-EC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s-EC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1-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s-EC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s-EC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  <w:lang w:val="es-EC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s-EC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1-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s-EC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s-EC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s-EC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s-EC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</m:e>
          </m:rad>
        </m:oMath>
      </m:oMathPara>
    </w:p>
    <w:p w:rsidR="004E0ED1" w:rsidRPr="004E0ED1" w:rsidRDefault="004E0ED1" w:rsidP="004E0ED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 xml:space="preserve">Donde:  </w:t>
      </w:r>
    </w:p>
    <w:p w:rsidR="00EA1A74" w:rsidRPr="004E0ED1" w:rsidRDefault="004E0ED1" w:rsidP="004E0ED1">
      <w:pPr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proofErr w:type="spellStart"/>
      <w:r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>Cp</w:t>
      </w:r>
      <w:proofErr w:type="spellEnd"/>
      <w:r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 xml:space="preserve">  coeficiente elástico, 2 290 √psi para acero </w:t>
      </w:r>
    </w:p>
    <w:p w:rsidR="00EA1A74" w:rsidRPr="004E0ED1" w:rsidRDefault="004E0ED1" w:rsidP="004E0ED1">
      <w:pPr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 xml:space="preserve">ZE  coeficiente elástico, 190 √N/mm2 para acero </w:t>
      </w:r>
    </w:p>
    <w:p w:rsidR="00EA1A74" w:rsidRPr="004E0ED1" w:rsidRDefault="004E0ED1" w:rsidP="004E0ED1">
      <w:pPr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 xml:space="preserve">EP y EG  módulos de Young del piñón y la corona, respectivamente, en psi </w:t>
      </w:r>
    </w:p>
    <w:p w:rsidR="00EA1A74" w:rsidRPr="004E0ED1" w:rsidRDefault="004E0ED1" w:rsidP="004E0ED1">
      <w:pPr>
        <w:numPr>
          <w:ilvl w:val="0"/>
          <w:numId w:val="7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>E1 y E2  módulos de Young para el piñón y la corona, respectivamente, en N/mm2</w:t>
      </w:r>
    </w:p>
    <w:p w:rsidR="004E0ED1" w:rsidRPr="004E0ED1" w:rsidRDefault="004E0ED1" w:rsidP="004E0ED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E0ED1">
        <w:rPr>
          <w:rFonts w:ascii="Times New Roman" w:eastAsiaTheme="minorEastAsia" w:hAnsi="Times New Roman" w:cs="Times New Roman"/>
          <w:b/>
          <w:bCs/>
          <w:sz w:val="24"/>
          <w:szCs w:val="24"/>
        </w:rPr>
        <w:t>Esfuerzo de contacto permisible</w:t>
      </w:r>
    </w:p>
    <w:p w:rsidR="004E0ED1" w:rsidRPr="004E0ED1" w:rsidRDefault="004E0ED1" w:rsidP="004E0ED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sz w:val="24"/>
          <w:szCs w:val="24"/>
          <w:lang w:val="es-MX"/>
        </w:rPr>
        <w:t xml:space="preserve">En la figura 15-12 se muestra de manera gráfica el esfuerzo permisible de materiales grado 1 y 2. </w:t>
      </w:r>
      <w:r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>Las ecuaciones son:</w:t>
      </w:r>
    </w:p>
    <w:p w:rsidR="004E0ED1" w:rsidRPr="004E0ED1" w:rsidRDefault="00567E8C" w:rsidP="004E0ED1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ac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=341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+23620 psi</m:t>
        </m:r>
      </m:oMath>
      <w:r w:rsidR="004E0ED1"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 xml:space="preserve">                grado1</w:t>
      </w:r>
    </w:p>
    <w:p w:rsidR="004E0ED1" w:rsidRPr="004E0ED1" w:rsidRDefault="00567E8C" w:rsidP="004E0ED1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EC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sz w:val="24"/>
                <w:szCs w:val="24"/>
                <w:lang w:val="el-GR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H lím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=2.35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+162.89 MPa</m:t>
        </m:r>
      </m:oMath>
      <w:r w:rsidR="004E0ED1" w:rsidRPr="004E0ED1">
        <w:rPr>
          <w:rFonts w:ascii="Times New Roman" w:eastAsiaTheme="minorEastAsia" w:hAnsi="Times New Roman" w:cs="Times New Roman"/>
          <w:i/>
          <w:iCs/>
          <w:sz w:val="24"/>
          <w:szCs w:val="24"/>
          <w:lang w:val="es-EC"/>
        </w:rPr>
        <w:t xml:space="preserve">      </w:t>
      </w:r>
      <w:r w:rsidR="004E0ED1"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>grado1</w:t>
      </w:r>
    </w:p>
    <w:p w:rsidR="004E0ED1" w:rsidRPr="004E0ED1" w:rsidRDefault="00567E8C" w:rsidP="004E0ED1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ac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=363.6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+29560 psi</m:t>
        </m:r>
      </m:oMath>
      <w:r w:rsidR="004E0ED1"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 xml:space="preserve">            grado2</w:t>
      </w:r>
    </w:p>
    <w:p w:rsidR="004E0ED1" w:rsidRPr="004E0ED1" w:rsidRDefault="00567E8C" w:rsidP="004E0ED1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EC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sz w:val="24"/>
                <w:szCs w:val="24"/>
                <w:lang w:val="el-GR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H lím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=2.51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EC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EC"/>
          </w:rPr>
          <m:t>+203.86 MPa</m:t>
        </m:r>
      </m:oMath>
      <w:r w:rsidR="004E0ED1" w:rsidRPr="004E0ED1">
        <w:rPr>
          <w:rFonts w:ascii="Times New Roman" w:eastAsiaTheme="minorEastAsia" w:hAnsi="Times New Roman" w:cs="Times New Roman"/>
          <w:sz w:val="24"/>
          <w:szCs w:val="24"/>
          <w:lang w:val="es-EC"/>
        </w:rPr>
        <w:t xml:space="preserve">      grado2</w:t>
      </w:r>
    </w:p>
    <w:p w:rsidR="004E0ED1" w:rsidRPr="004E0ED1" w:rsidRDefault="004E0ED1" w:rsidP="004E0ED1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73ECFB03" wp14:editId="56414505">
            <wp:extent cx="5400040" cy="2143125"/>
            <wp:effectExtent l="0" t="0" r="0" b="9525"/>
            <wp:docPr id="15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8B92BDB9-2E98-4B08-AFF4-370CA85438F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8B92BDB9-2E98-4B08-AFF4-370CA85438F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9"/>
                    <a:srcRect l="16522" t="41349" r="28696" b="19985"/>
                    <a:stretch/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Pr="004E0ED1" w:rsidRDefault="004E0ED1" w:rsidP="004E0ED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es-MX"/>
        </w:rPr>
      </w:pPr>
      <w:r w:rsidRPr="004E0ED1">
        <w:rPr>
          <w:rFonts w:ascii="Times New Roman" w:eastAsiaTheme="minorEastAsia" w:hAnsi="Times New Roman" w:cs="Times New Roman"/>
          <w:b/>
          <w:bCs/>
          <w:sz w:val="24"/>
          <w:szCs w:val="24"/>
          <w:lang w:val="es-MX"/>
        </w:rPr>
        <w:lastRenderedPageBreak/>
        <w:t>Números de esfuerzo de flexión permisible</w:t>
      </w:r>
    </w:p>
    <w:p w:rsidR="004E0ED1" w:rsidRPr="004E0ED1" w:rsidRDefault="004E0ED1" w:rsidP="004E0ED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sz w:val="24"/>
          <w:szCs w:val="24"/>
          <w:lang w:val="es-MX"/>
        </w:rPr>
        <w:t xml:space="preserve">En las tablas 15-6 y 15-7 se ofrecen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at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( 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F lím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 </m:t>
        </m:r>
      </m:oMath>
      <w:r w:rsidRPr="004E0ED1">
        <w:rPr>
          <w:rFonts w:ascii="Times New Roman" w:eastAsiaTheme="minorEastAsia" w:hAnsi="Times New Roman" w:cs="Times New Roman"/>
          <w:sz w:val="24"/>
          <w:szCs w:val="24"/>
          <w:lang w:val="es-MX"/>
        </w:rPr>
        <w:t xml:space="preserve">de engranes de acero y de hierro, respectivamente. En la figura 15-13 se presenta de manera gráfica el esfuerzo de flexión permisible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at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 ( 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 lím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) </m:t>
        </m:r>
      </m:oMath>
      <w:r w:rsidRPr="004E0ED1">
        <w:rPr>
          <w:rFonts w:ascii="Times New Roman" w:eastAsiaTheme="minorEastAsia" w:hAnsi="Times New Roman" w:cs="Times New Roman"/>
          <w:sz w:val="24"/>
          <w:szCs w:val="24"/>
          <w:lang w:val="es-MX"/>
        </w:rPr>
        <w:t>de aceros endurecidos por completo. Las ecuaciones corresponden a</w:t>
      </w:r>
    </w:p>
    <w:p w:rsidR="004E0ED1" w:rsidRPr="004E0ED1" w:rsidRDefault="00567E8C" w:rsidP="004E0ED1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at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44H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+2100 psi</m:t>
        </m:r>
      </m:oMath>
      <w:r w:rsidR="004E0ED1" w:rsidRPr="004E0ED1"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  <w:t xml:space="preserve"> </w:t>
      </w:r>
      <w:r w:rsidR="004E0ED1" w:rsidRPr="004E0ED1"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  <w:tab/>
      </w:r>
      <w:r w:rsidR="004E0ED1" w:rsidRPr="004E0ED1"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  <w:tab/>
        <w:t>Grado 1</w:t>
      </w:r>
    </w:p>
    <w:p w:rsidR="004E0ED1" w:rsidRPr="004E0ED1" w:rsidRDefault="00567E8C" w:rsidP="004E0ED1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F lím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=0,30 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+14,48 MPa</m:t>
        </m:r>
      </m:oMath>
      <w:r w:rsidR="004E0ED1" w:rsidRPr="004E0ED1"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  <w:t xml:space="preserve"> </w:t>
      </w:r>
      <w:r w:rsidR="004E0ED1" w:rsidRPr="004E0ED1"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  <w:tab/>
        <w:t>Grado 2</w:t>
      </w:r>
    </w:p>
    <w:p w:rsidR="004E0ED1" w:rsidRPr="004E0ED1" w:rsidRDefault="00567E8C" w:rsidP="004E0ED1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at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48H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 xml:space="preserve">+5980 MPa </m:t>
        </m:r>
      </m:oMath>
      <w:r w:rsidR="004E0ED1" w:rsidRPr="004E0ED1"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  <w:t xml:space="preserve"> </w:t>
      </w:r>
      <w:r w:rsidR="004E0ED1" w:rsidRPr="004E0ED1"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  <w:tab/>
        <w:t>Grado 3</w:t>
      </w:r>
    </w:p>
    <w:p w:rsidR="004E0ED1" w:rsidRPr="004E0ED1" w:rsidRDefault="00567E8C" w:rsidP="004E0ED1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 lím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=0,33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+41,24 MPa</m:t>
        </m:r>
      </m:oMath>
      <w:r w:rsidR="004E0ED1" w:rsidRPr="004E0ED1"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  <w:t xml:space="preserve"> </w:t>
      </w:r>
      <w:r w:rsidR="004E0ED1" w:rsidRPr="004E0ED1">
        <w:rPr>
          <w:rFonts w:ascii="Times New Roman" w:eastAsiaTheme="minorEastAsia" w:hAnsi="Times New Roman" w:cs="Times New Roman"/>
          <w:iCs/>
          <w:sz w:val="24"/>
          <w:szCs w:val="24"/>
          <w:lang w:val="es-MX"/>
        </w:rPr>
        <w:tab/>
        <w:t>Grado 4</w:t>
      </w:r>
    </w:p>
    <w:p w:rsidR="004E0ED1" w:rsidRPr="004E0ED1" w:rsidRDefault="004E0ED1" w:rsidP="004E0ED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337BDDF9" wp14:editId="610E9D00">
            <wp:extent cx="5400040" cy="2433320"/>
            <wp:effectExtent l="0" t="0" r="0" b="5080"/>
            <wp:docPr id="16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B02CDCF3-9CFD-4606-8FE2-9DCD8725A58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B02CDCF3-9CFD-4606-8FE2-9DCD8725A58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1" w:rsidRPr="004E0ED1" w:rsidRDefault="004E0ED1" w:rsidP="004E0ED1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E0ED1">
        <w:rPr>
          <w:rFonts w:ascii="Times New Roman" w:eastAsiaTheme="minorEastAsia" w:hAnsi="Times New Roman" w:cs="Times New Roman"/>
          <w:b/>
          <w:bCs/>
          <w:sz w:val="24"/>
          <w:szCs w:val="24"/>
        </w:rPr>
        <w:t>Carga invertida</w:t>
      </w:r>
    </w:p>
    <w:p w:rsidR="00EA1A74" w:rsidRPr="004E0ED1" w:rsidRDefault="004E0ED1" w:rsidP="004E0ED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  <w:r w:rsidRPr="004E0ED1">
        <w:rPr>
          <w:rFonts w:ascii="Times New Roman" w:eastAsiaTheme="minorEastAsia" w:hAnsi="Times New Roman" w:cs="Times New Roman"/>
          <w:sz w:val="24"/>
          <w:szCs w:val="24"/>
          <w:lang w:val="es-MX"/>
        </w:rPr>
        <w:t>La AGMA recomienda emplear 70 por ciento de la resistencia permisible en los casos donde la carga en los dientes se invierte por completo, como en los engranes secundarios y en mecanismos que invierten su direcci</w:t>
      </w:r>
      <w:bookmarkStart w:id="0" w:name="_GoBack"/>
      <w:bookmarkEnd w:id="0"/>
      <w:r w:rsidRPr="004E0ED1">
        <w:rPr>
          <w:rFonts w:ascii="Times New Roman" w:eastAsiaTheme="minorEastAsia" w:hAnsi="Times New Roman" w:cs="Times New Roman"/>
          <w:sz w:val="24"/>
          <w:szCs w:val="24"/>
          <w:lang w:val="es-MX"/>
        </w:rPr>
        <w:t>ón.</w:t>
      </w:r>
    </w:p>
    <w:p w:rsidR="004E0ED1" w:rsidRPr="004E0ED1" w:rsidRDefault="004E0ED1" w:rsidP="004E0ED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</w:p>
    <w:p w:rsidR="004E0ED1" w:rsidRPr="004E0ED1" w:rsidRDefault="004E0ED1" w:rsidP="004E0ED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s-EC"/>
        </w:rPr>
      </w:pPr>
    </w:p>
    <w:sectPr w:rsidR="004E0ED1" w:rsidRPr="004E0E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4E5E"/>
    <w:multiLevelType w:val="hybridMultilevel"/>
    <w:tmpl w:val="5AB68716"/>
    <w:lvl w:ilvl="0" w:tplc="C77C9A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C09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E81E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B0BB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E6DB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E276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26E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7424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CCA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A8F1C3B"/>
    <w:multiLevelType w:val="hybridMultilevel"/>
    <w:tmpl w:val="742C3B42"/>
    <w:lvl w:ilvl="0" w:tplc="C90C4A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766D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707C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BC6E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023F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D07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B23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BACC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54C9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C9C770D"/>
    <w:multiLevelType w:val="hybridMultilevel"/>
    <w:tmpl w:val="0FCA3A54"/>
    <w:lvl w:ilvl="0" w:tplc="2F10EF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3E58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341E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2C0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C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8EAC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E66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2CB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52BE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5017355"/>
    <w:multiLevelType w:val="hybridMultilevel"/>
    <w:tmpl w:val="B7164D82"/>
    <w:lvl w:ilvl="0" w:tplc="E6888C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CE9B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0FF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6A95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AC9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02D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C6A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C8FD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3A63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5A5689"/>
    <w:multiLevelType w:val="hybridMultilevel"/>
    <w:tmpl w:val="158AC036"/>
    <w:lvl w:ilvl="0" w:tplc="5666F2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EEF8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90DB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50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B29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340D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6A95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B62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BC9B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D00B8F"/>
    <w:multiLevelType w:val="hybridMultilevel"/>
    <w:tmpl w:val="4B406DF0"/>
    <w:lvl w:ilvl="0" w:tplc="EA4603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B692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C8F6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26A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E67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223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E81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8A20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3E8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707722D"/>
    <w:multiLevelType w:val="hybridMultilevel"/>
    <w:tmpl w:val="DA1A91D0"/>
    <w:lvl w:ilvl="0" w:tplc="54D4E1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68F2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8ED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AA2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F6E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68C4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9897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3684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62DB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B3E068C"/>
    <w:multiLevelType w:val="hybridMultilevel"/>
    <w:tmpl w:val="D444B264"/>
    <w:lvl w:ilvl="0" w:tplc="5A1C4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A4D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768A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8AD9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641E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D07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EA28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6A9A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40FE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s-EC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424"/>
    <w:rsid w:val="0005295B"/>
    <w:rsid w:val="00277CAD"/>
    <w:rsid w:val="004C1424"/>
    <w:rsid w:val="004D71A9"/>
    <w:rsid w:val="004E0ED1"/>
    <w:rsid w:val="00567E8C"/>
    <w:rsid w:val="005D5795"/>
    <w:rsid w:val="006528EF"/>
    <w:rsid w:val="00857DC1"/>
    <w:rsid w:val="00B03343"/>
    <w:rsid w:val="00EA1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8CEA6"/>
  <w15:chartTrackingRefBased/>
  <w15:docId w15:val="{EFA9A99E-D1E5-4A91-8D0D-AB5CE04EC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Cuadrculadetablaclara">
    <w:name w:val="Grid Table Light"/>
    <w:basedOn w:val="Tablanormal"/>
    <w:uiPriority w:val="40"/>
    <w:rsid w:val="004C142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C1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table" w:styleId="Tablaconcuadrcula">
    <w:name w:val="Table Grid"/>
    <w:basedOn w:val="Tablanormal"/>
    <w:uiPriority w:val="39"/>
    <w:rsid w:val="004E0E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2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0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7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03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2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5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0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5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1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7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5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6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8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9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2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9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4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microsoft.com/office/2007/relationships/hdphoto" Target="media/hdphoto1.wd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image" Target="media/image19.tmp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emf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6.png"/><Relationship Id="rId19" Type="http://schemas.openxmlformats.org/officeDocument/2006/relationships/image" Target="media/image14.tmp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1490</Words>
  <Characters>8198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 R. Cortez</dc:creator>
  <cp:keywords/>
  <dc:description/>
  <cp:lastModifiedBy>Windows User</cp:lastModifiedBy>
  <cp:revision>3</cp:revision>
  <dcterms:created xsi:type="dcterms:W3CDTF">2020-09-02T00:57:00Z</dcterms:created>
  <dcterms:modified xsi:type="dcterms:W3CDTF">2020-09-03T06:28:00Z</dcterms:modified>
</cp:coreProperties>
</file>