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Agro Família (Tatuí / SP)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Sem Logotipo no momento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</w:t>
      </w:r>
      <w:r>
        <w:rPr/>
        <w:t>ste</w:t>
      </w:r>
      <w:r>
        <w:rPr/>
        <w:t xml:space="preserve"> petshop,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y63ppj89aknf"/>
      <w:bookmarkStart w:id="14" w:name="_9ifolvgdxmor"/>
      <w:bookmarkStart w:id="15" w:name="_insc0vnn24rq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user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82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618"/>
        <w:gridCol w:w="1585"/>
        <w:gridCol w:w="2267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61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Não Encontrado</w:t>
            </w:r>
          </w:p>
        </w:tc>
        <w:tc>
          <w:tcPr>
            <w:tcW w:w="158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2267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8" w:name="_Hlk11167024"/>
            <w:bookmarkEnd w:id="18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618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b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158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2267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19" w:name="_Toc208341104"/>
      <w:r>
        <w:rPr/>
        <w:t>2.6 Cronograma</w:t>
      </w:r>
      <w:bookmarkEnd w:id="19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0" w:name="_otr3feagh8c7"/>
            <w:bookmarkEnd w:id="20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1" w:name="_Toc208341105"/>
      <w:r>
        <w:rPr/>
        <w:t>Documentação do Sistema</w:t>
      </w:r>
      <w:bookmarkEnd w:id="21"/>
    </w:p>
    <w:p>
      <w:pPr>
        <w:pStyle w:val="Heading2"/>
        <w:rPr/>
      </w:pPr>
      <w:bookmarkStart w:id="22" w:name="_Toc208341106"/>
      <w:r>
        <w:rPr/>
        <w:t>3.1 Metodologia de Desenvolvimento</w:t>
      </w:r>
      <w:bookmarkEnd w:id="22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user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user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user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user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>
          <w:sz w:val="28"/>
          <w:szCs w:val="28"/>
        </w:rPr>
      </w:pPr>
      <w:bookmarkStart w:id="23" w:name="_Toc208341107"/>
      <w:r>
        <w:rPr>
          <w:sz w:val="28"/>
          <w:szCs w:val="28"/>
        </w:rPr>
        <w:t>3.2 Diagramas UML</w:t>
      </w:r>
      <w:bookmarkEnd w:id="23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4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5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68" t="-263" r="-168" b="-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7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36" t="-199" r="-136" b="-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61" t="-219" r="-161" b="-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70" t="-284" r="-170" b="-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65" t="-306" r="-165" b="-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bookmarkStart w:id="24" w:name="_Toc208341108"/>
      <w:r>
        <w:rPr>
          <w:sz w:val="28"/>
          <w:szCs w:val="28"/>
        </w:rPr>
        <w:t>Modelagem de Banco de dados</w:t>
      </w:r>
      <w:bookmarkEnd w:id="24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15" t="-224" r="-115" b="-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5" t="-182" r="-115" b="-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3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40" t="-196" r="-140" b="-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5" w:name="_Toc208341109"/>
      <w:r>
        <w:rPr/>
        <w:t>3.6 Recursos e ferramentas</w:t>
      </w:r>
      <w:bookmarkEnd w:id="25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2"/>
        <w:gridCol w:w="2782"/>
        <w:gridCol w:w="3804"/>
      </w:tblGrid>
      <w:tr>
        <w:trPr/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10"/>
      <w:r>
        <w:rPr/>
        <w:t>3.7 Funcionalidades implementadas</w:t>
      </w:r>
      <w:bookmarkEnd w:id="26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7" w:name="_Toc208341111"/>
      <w:r>
        <w:rPr/>
        <w:t>3.8 Interface do usuário</w:t>
      </w:r>
      <w:bookmarkEnd w:id="27"/>
    </w:p>
    <w:p>
      <w:pPr>
        <w:pStyle w:val="Normal"/>
        <w:rPr>
          <w:b/>
          <w:bCs/>
        </w:rPr>
      </w:pPr>
      <w:r>
        <w:rPr>
          <w:b/>
          <w:bCs/>
        </w:rPr>
        <w:t>Tela de Login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2554605"/>
            <wp:effectExtent l="0" t="0" r="0" b="0"/>
            <wp:wrapSquare wrapText="largest"/>
            <wp:docPr id="14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255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de Criar Usuário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731510" cy="2614295"/>
            <wp:effectExtent l="0" t="0" r="0" b="0"/>
            <wp:wrapSquare wrapText="largest"/>
            <wp:docPr id="15" name="Figura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Esqueci Minha Senha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posOffset>0</wp:posOffset>
            </wp:positionH>
            <wp:positionV relativeFrom="paragraph">
              <wp:posOffset>109220</wp:posOffset>
            </wp:positionV>
            <wp:extent cx="5731510" cy="2593340"/>
            <wp:effectExtent l="0" t="0" r="0" b="0"/>
            <wp:wrapSquare wrapText="largest"/>
            <wp:docPr id="16" name="Figura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9" t="-152" r="-69" b="-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do Administrador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67965"/>
            <wp:effectExtent l="0" t="0" r="0" b="0"/>
            <wp:wrapSquare wrapText="largest"/>
            <wp:docPr id="17" name="Figura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Login do A</w:t>
      </w:r>
      <w:r>
        <w:rPr>
          <w:b/>
          <w:bCs/>
        </w:rPr>
        <w:t>d</w:t>
      </w:r>
      <w:r>
        <w:rPr>
          <w:b/>
          <w:bCs/>
        </w:rPr>
        <w:t>m</w:t>
      </w:r>
      <w:r>
        <w:rPr>
          <w:b/>
          <w:bCs/>
        </w:rPr>
        <w:t>i</w:t>
      </w:r>
      <w:r>
        <w:rPr>
          <w:b/>
          <w:bCs/>
        </w:rPr>
        <w:t>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93340"/>
            <wp:effectExtent l="0" t="0" r="0" b="0"/>
            <wp:wrapSquare wrapText="largest"/>
            <wp:docPr id="18" name="Figura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9" t="-152" r="-69" b="-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Principal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posOffset>0</wp:posOffset>
            </wp:positionH>
            <wp:positionV relativeFrom="paragraph">
              <wp:posOffset>132080</wp:posOffset>
            </wp:positionV>
            <wp:extent cx="5731510" cy="2786380"/>
            <wp:effectExtent l="0" t="0" r="0" b="0"/>
            <wp:wrapSquare wrapText="largest"/>
            <wp:docPr id="19" name="Figura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9" t="-142" r="-69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>Tela de Cadastro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4455"/>
            <wp:effectExtent l="0" t="0" r="0" b="0"/>
            <wp:wrapSquare wrapText="largest"/>
            <wp:docPr id="20" name="Figura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As telas de cadastro criadas tem o modelo semelhante á tela de cadastro de clientes. Telas de cadastro de produtos, de pets e agendamentos tem o mesmo estilo.</w:t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Tela de Lista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78125"/>
            <wp:effectExtent l="0" t="0" r="0" b="0"/>
            <wp:wrapSquare wrapText="largest"/>
            <wp:docPr id="21" name="Figura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17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70" t="-143" r="-70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Observação: </w:t>
      </w:r>
      <w:r>
        <w:rPr>
          <w:b w:val="false"/>
          <w:bCs w:val="false"/>
        </w:rPr>
        <w:t>Telas de listagem de produtos, pets e agendamentos tem o mesmo estilo da tela de Lista de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Configurações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80665"/>
            <wp:effectExtent l="0" t="0" r="0" b="0"/>
            <wp:wrapSquare wrapText="largest"/>
            <wp:docPr id="22" name="Figura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70" t="-143" r="-70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Tela do Ponto de Vendas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8265"/>
            <wp:effectExtent l="0" t="0" r="0" b="0"/>
            <wp:wrapSquare wrapText="largest"/>
            <wp:docPr id="23" name="Figura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82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da Ficha do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59075"/>
            <wp:effectExtent l="0" t="0" r="0" b="0"/>
            <wp:wrapSquare wrapText="largest"/>
            <wp:docPr id="24" name="Figura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  <w:t>4.</w:t>
      </w:r>
      <w:bookmarkStart w:id="28" w:name="_Toc208341112"/>
      <w:r>
        <w:rPr/>
        <w:t>Testes e Qualidade</w:t>
      </w:r>
      <w:bookmarkEnd w:id="28"/>
    </w:p>
    <w:p>
      <w:pPr>
        <w:pStyle w:val="Heading2"/>
        <w:rPr/>
      </w:pPr>
      <w:r>
        <w:rPr/>
        <w:t>4</w:t>
      </w:r>
      <w:bookmarkStart w:id="29" w:name="_Toc208341113"/>
      <w:r>
        <w:rPr/>
        <w:t>.1 Estratégia de Testes: Descrever a estratégia de testes adotada</w:t>
      </w:r>
      <w:bookmarkEnd w:id="29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spacing w:before="0" w:after="120"/>
        <w:ind w:hanging="0" w:left="0"/>
        <w:rPr/>
      </w:pPr>
      <w:r>
        <w:rPr/>
        <w:t>4</w:t>
      </w:r>
      <w:bookmarkStart w:id="30" w:name="_Toc208341114"/>
      <w:r>
        <w:rPr/>
        <w:t>.2 Resultados dos Testes: Apresentar os resultados dos testes realizados</w:t>
      </w:r>
      <w:bookmarkEnd w:id="30"/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Três (3) usuários relataram confusão ao selecionar o profissional disponível durante o agendamento.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Modificar a interface de agendamento para um calendário visual com a foto dos profissionais.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O campo de busca de clientes não aceitava números de telefone sem formatação (parênteses e traços), exigindo a formatação exata.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Todos os usuários elogiaram a paleta de cores e a disposição dos ícones, classificando a interface como "limpa e agradável".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Manter o design da interface, priorizando a estabilidade e performance.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Um (1) usuário sugeriu a inclusão de um relatório rápido de "melhores clientes" para ações de marketing.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Adicionar um módulo de relatório customizado para gerar essa informação.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1" w:name="_Toc208341115"/>
      <w:r>
        <w:rPr/>
        <w:t>4.3 Garantia da Qualidade:</w:t>
      </w:r>
      <w:bookmarkEnd w:id="31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Testes de Unidade Automatizados:</w:t>
      </w:r>
      <w:r>
        <w:rPr/>
        <w:t xml:space="preserve"> Utilização de </w:t>
      </w:r>
      <w:r>
        <w:rPr>
          <w:i/>
        </w:rPr>
        <w:t>frameworks</w:t>
      </w:r>
      <w:r>
        <w:rPr/>
        <w:t xml:space="preserve"> de testes (como JUnit) para validar o comportamento de funções e métodos isolados (e.g., cálculo de impostos, formatação de datas), garantindo que as regras de negócio sejam sempre respeitadas.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Homologação:</w:t>
      </w:r>
      <w:r>
        <w:rPr/>
        <w:t xml:space="preserve"> Antes da liberação final (deploy), o sistema foi submetido a um ambiente de </w:t>
      </w:r>
      <w:r>
        <w:rPr>
          <w:b/>
        </w:rPr>
        <w:t>homologação</w:t>
      </w:r>
      <w:r>
        <w:rPr/>
        <w:t xml:space="preserve"> idêntico ao de produção, onde os testes de ponta a ponta (end-to-end)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Toc208341116"/>
      <w:r>
        <w:rPr/>
        <w:t>4.4 Requisitos mínimos de hardware e software para o sistema</w:t>
      </w:r>
      <w:bookmarkEnd w:id="32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Normal"/>
        <w:rPr/>
      </w:pPr>
      <w:r>
        <w:rPr/>
      </w:r>
      <w:bookmarkStart w:id="33" w:name="_c416v7vsc6tu"/>
      <w:bookmarkStart w:id="34" w:name="_eys2dox2ksiz"/>
      <w:bookmarkStart w:id="35" w:name="_svvhujvzdaoc"/>
      <w:bookmarkStart w:id="36" w:name="_4silupz56pcl"/>
      <w:bookmarkStart w:id="37" w:name="_c05mh8u26u55"/>
      <w:bookmarkStart w:id="38" w:name="_v4tufsg5tzi2"/>
      <w:bookmarkStart w:id="39" w:name="_3cwavtvg9zuo"/>
      <w:bookmarkStart w:id="40" w:name="_6mad4wn9nuav"/>
      <w:bookmarkStart w:id="41" w:name="_j12f6xsp0jfi"/>
      <w:bookmarkStart w:id="42" w:name="_6gn227md0o7x"/>
      <w:bookmarkStart w:id="43" w:name="_nn0nimgeko23"/>
      <w:bookmarkStart w:id="44" w:name="_2zqrayimty9"/>
      <w:bookmarkStart w:id="45" w:name="_c416v7vsc6tu"/>
      <w:bookmarkStart w:id="46" w:name="_eys2dox2ksiz"/>
      <w:bookmarkStart w:id="47" w:name="_svvhujvzdaoc"/>
      <w:bookmarkStart w:id="48" w:name="_4silupz56pcl"/>
      <w:bookmarkStart w:id="49" w:name="_c05mh8u26u55"/>
      <w:bookmarkStart w:id="50" w:name="_v4tufsg5tzi2"/>
      <w:bookmarkStart w:id="51" w:name="_3cwavtvg9zuo"/>
      <w:bookmarkStart w:id="52" w:name="_6mad4wn9nuav"/>
      <w:bookmarkStart w:id="53" w:name="_j12f6xsp0jfi"/>
      <w:bookmarkStart w:id="54" w:name="_6gn227md0o7x"/>
      <w:bookmarkStart w:id="55" w:name="_nn0nimgeko23"/>
      <w:bookmarkStart w:id="56" w:name="_2zqrayimty9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>
      <w:pPr>
        <w:pStyle w:val="Heading2"/>
        <w:rPr/>
      </w:pPr>
      <w:bookmarkStart w:id="57" w:name="_Toc208341117"/>
      <w:r>
        <w:rPr/>
        <w:t xml:space="preserve">4.5 </w:t>
      </w:r>
      <w:bookmarkStart w:id="58" w:name="_a2ztorr69us4"/>
      <w:bookmarkEnd w:id="58"/>
      <w:r>
        <w:rPr/>
        <w:t>Contrato para desenvolvimento de software</w:t>
      </w:r>
      <w:bookmarkStart w:id="59" w:name="_jhlxoy2xhbg9"/>
      <w:bookmarkEnd w:id="57"/>
      <w:bookmarkEnd w:id="59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5. </w:t>
      </w:r>
      <w:bookmarkStart w:id="60" w:name="_Toc208341118"/>
      <w:r>
        <w:rPr/>
        <w:t>Considerações Finais</w:t>
      </w:r>
      <w:bookmarkEnd w:id="6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6. </w:t>
      </w:r>
      <w:bookmarkStart w:id="61" w:name="_Toc208341119"/>
      <w:r>
        <w:rPr/>
        <w:t>Referências</w:t>
      </w:r>
      <w:bookmarkEnd w:id="61"/>
    </w:p>
    <w:p>
      <w:pPr>
        <w:pStyle w:val="Heading1"/>
        <w:numPr>
          <w:ilvl w:val="0"/>
          <w:numId w:val="0"/>
        </w:numPr>
        <w:ind w:hanging="0" w:left="710"/>
        <w:rPr/>
      </w:pPr>
      <w:bookmarkStart w:id="62" w:name="_Toc208341120"/>
      <w:r>
        <w:rPr/>
        <w:t>Anexo I - Diário de bordo</w:t>
      </w:r>
      <w:bookmarkEnd w:id="62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28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63" w:name="_Toc208341121"/>
      <w:r>
        <w:rPr/>
        <w:t>Anexo II – Cronograma efetivo</w:t>
      </w:r>
      <w:bookmarkEnd w:id="63"/>
    </w:p>
    <w:p>
      <w:pPr>
        <w:pStyle w:val="Heading1"/>
        <w:numPr>
          <w:ilvl w:val="0"/>
          <w:numId w:val="0"/>
        </w:numPr>
        <w:ind w:hanging="0" w:left="720"/>
        <w:rPr/>
      </w:pPr>
      <w:bookmarkStart w:id="64" w:name="_Toc208341122"/>
      <w:r>
        <w:rPr/>
        <w:t>Anexo III – Evidências</w:t>
      </w:r>
      <w:bookmarkEnd w:id="64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29"/>
      <w:headerReference w:type="default" r:id="rId30"/>
      <w:headerReference w:type="first" r:id="rId31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user">
    <w:name w:val="Bloco de citação (user)"/>
    <w:basedOn w:val="Normal"/>
    <w:qFormat/>
    <w:pPr>
      <w:spacing w:before="0" w:after="283"/>
      <w:ind w:hanging="0" w:left="567" w:right="567"/>
    </w:pPr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hyperlink" Target="https://github.com/AleksGustavo/PI-2--Semestre-2025/blob/main/Documenta&#231;&#227;o/Diario%20de%20Bordo%20-%20Aleksander.md" TargetMode="External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<Relationship Id="rId36" Type="http://schemas.openxmlformats.org/officeDocument/2006/relationships/glossaryDocument" Target="glossary/document.xml"/><Relationship Id="rId37" Type="http://schemas.openxmlformats.org/officeDocument/2006/relationships/customXml" Target="../customXml/item1.xml"/><Relationship Id="rId38" Type="http://schemas.openxmlformats.org/officeDocument/2006/relationships/customXml" Target="../customXml/item2.xml"/><Relationship Id="rId39" Type="http://schemas.openxmlformats.org/officeDocument/2006/relationships/customXml" Target="../customXml/item3.xml"/><Relationship Id="rId40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3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6736</TotalTime>
  <Application>LibreOffice/25.2.6.2$Windows_X86_64 LibreOffice_project/729c5bfe710f5eb71ed3bbde9e06a6065e9c6c5d</Application>
  <AppVersion>15.0000</AppVersion>
  <Pages>28</Pages>
  <Words>2762</Words>
  <Characters>16024</Characters>
  <CharactersWithSpaces>18416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2025-11-18T12:13:54Z</dcterms:modified>
  <cp:revision>247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