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70A2" w14:textId="7B7116B5" w:rsidR="007F62C7" w:rsidRPr="007F62C7" w:rsidRDefault="007F62C7">
      <w:r w:rsidRPr="007F62C7">
        <w:rPr>
          <w:u w:val="single"/>
        </w:rPr>
        <w:t>Allgemeine</w:t>
      </w:r>
      <w:r w:rsidR="00741FB8">
        <w:rPr>
          <w:u w:val="single"/>
        </w:rPr>
        <w:t xml:space="preserve"> Informationen zum </w:t>
      </w:r>
      <w:proofErr w:type="spellStart"/>
      <w:r w:rsidR="00741FB8">
        <w:rPr>
          <w:u w:val="single"/>
        </w:rPr>
        <w:t>HSAB</w:t>
      </w:r>
      <w:proofErr w:type="spellEnd"/>
      <w:r w:rsidR="00741FB8">
        <w:rPr>
          <w:u w:val="single"/>
        </w:rPr>
        <w:t>-Konzept</w:t>
      </w:r>
      <w:r w:rsidRPr="007F62C7">
        <w:t>:</w:t>
      </w:r>
    </w:p>
    <w:p w14:paraId="1CC339CE" w14:textId="1A1817EB" w:rsidR="007F62C7" w:rsidRDefault="007F62C7">
      <w:r w:rsidRPr="007F62C7">
        <w:t>Mit dem Hard-Soft-Acid-Base-(</w:t>
      </w:r>
      <w:proofErr w:type="spellStart"/>
      <w:r w:rsidRPr="007F62C7">
        <w:t>HSAB</w:t>
      </w:r>
      <w:proofErr w:type="spellEnd"/>
      <w:r w:rsidRPr="007F62C7">
        <w:t xml:space="preserve">)-Konzept </w:t>
      </w:r>
      <w:r>
        <w:t>lassen sich Ionen/Moleküle in die Kategorien weich und hart unterteilen</w:t>
      </w:r>
      <w:r w:rsidR="00741FB8">
        <w:t xml:space="preserve"> und somit Reaktionen vorhersagen</w:t>
      </w:r>
      <w:r>
        <w:t>.</w:t>
      </w:r>
      <w:r w:rsidR="00741FB8">
        <w:t xml:space="preserve"> Denn</w:t>
      </w:r>
      <w:r>
        <w:t xml:space="preserve"> </w:t>
      </w:r>
      <w:r w:rsidR="00741FB8">
        <w:t xml:space="preserve">es gilt: </w:t>
      </w:r>
      <w:r w:rsidR="00741FB8" w:rsidRPr="00741FB8">
        <w:rPr>
          <w:color w:val="EE0000"/>
        </w:rPr>
        <w:t>W</w:t>
      </w:r>
      <w:r w:rsidRPr="00741FB8">
        <w:rPr>
          <w:color w:val="EE0000"/>
        </w:rPr>
        <w:t>eich reagiert gerne mit weich und hart mit hart</w:t>
      </w:r>
      <w:r>
        <w:t>.</w:t>
      </w:r>
      <w:r w:rsidR="005D720C">
        <w:t xml:space="preserve"> Für weiche Ionen/Moleküle gilt jeweils der umgekehrte Fall wie für harte Ionen/Moleküle.</w:t>
      </w:r>
    </w:p>
    <w:p w14:paraId="6432AE0F" w14:textId="0277C3FA" w:rsidR="007F62C7" w:rsidRDefault="007F62C7">
      <w:r>
        <w:t>Ein Ion/Molekül gilt als umso härter, je</w:t>
      </w:r>
      <w:r w:rsidR="00322E7A">
        <w:t>…</w:t>
      </w:r>
    </w:p>
    <w:p w14:paraId="3E6A6562" w14:textId="246E53E0" w:rsidR="007F62C7" w:rsidRDefault="007F62C7" w:rsidP="00322E7A">
      <w:pPr>
        <w:pStyle w:val="Listenabsatz"/>
        <w:numPr>
          <w:ilvl w:val="0"/>
          <w:numId w:val="2"/>
        </w:numPr>
      </w:pPr>
      <w:r>
        <w:t>… kleiner der Atom/Ionen-Radius ist.</w:t>
      </w:r>
    </w:p>
    <w:p w14:paraId="5F4DE40E" w14:textId="043FEDD8" w:rsidR="00391F3B" w:rsidRDefault="00391F3B">
      <w:r>
        <w:t>Bsp.:</w:t>
      </w:r>
      <w:r w:rsidR="00115C36">
        <w:t xml:space="preserve"> H</w:t>
      </w:r>
      <w:r w:rsidR="00322E7A" w:rsidRPr="00322E7A">
        <w:rPr>
          <w:vertAlign w:val="superscript"/>
        </w:rPr>
        <w:t>+</w:t>
      </w:r>
      <w:r w:rsidR="00115C36">
        <w:t xml:space="preserve"> ist härter als Na</w:t>
      </w:r>
      <w:r w:rsidR="00115C36" w:rsidRPr="00322E7A">
        <w:rPr>
          <w:vertAlign w:val="superscript"/>
        </w:rPr>
        <w:t>+</w:t>
      </w:r>
      <w:r w:rsidR="00115C36">
        <w:t>, obwohl beide hart sind, da</w:t>
      </w:r>
      <w:r w:rsidR="00322E7A">
        <w:t xml:space="preserve"> H</w:t>
      </w:r>
      <w:r w:rsidR="00322E7A" w:rsidRPr="00322E7A">
        <w:rPr>
          <w:vertAlign w:val="superscript"/>
        </w:rPr>
        <w:t>+</w:t>
      </w:r>
      <w:r w:rsidR="00322E7A">
        <w:t xml:space="preserve"> einen deutlich kleineren Ionen-Radius besitzt.</w:t>
      </w:r>
    </w:p>
    <w:p w14:paraId="597E4E92" w14:textId="1790702D" w:rsidR="007F62C7" w:rsidRDefault="007F62C7" w:rsidP="00322E7A">
      <w:pPr>
        <w:pStyle w:val="Listenabsatz"/>
        <w:numPr>
          <w:ilvl w:val="0"/>
          <w:numId w:val="2"/>
        </w:numPr>
      </w:pPr>
      <w:r>
        <w:t>… höher die Ladung</w:t>
      </w:r>
      <w:r w:rsidR="00391F3B">
        <w:t xml:space="preserve"> ist (tendenziell kann man sagen, ab einer Ladung von +3 sind Ionen eher als hart anzusehen).</w:t>
      </w:r>
    </w:p>
    <w:p w14:paraId="3F524E81" w14:textId="5812528A" w:rsidR="00391F3B" w:rsidRDefault="00391F3B">
      <w:r>
        <w:t xml:space="preserve">Bsp.: </w:t>
      </w:r>
      <w:r w:rsidR="00322E7A">
        <w:t>Fe</w:t>
      </w:r>
      <w:r w:rsidR="00322E7A" w:rsidRPr="00322E7A">
        <w:rPr>
          <w:vertAlign w:val="superscript"/>
        </w:rPr>
        <w:t>3+</w:t>
      </w:r>
      <w:r w:rsidR="00322E7A">
        <w:t xml:space="preserve"> ist härter als Fe</w:t>
      </w:r>
      <w:r w:rsidR="00322E7A" w:rsidRPr="00322E7A">
        <w:rPr>
          <w:vertAlign w:val="superscript"/>
        </w:rPr>
        <w:t>2+</w:t>
      </w:r>
      <w:r w:rsidR="00322E7A">
        <w:t xml:space="preserve"> aufgrund der höheren Ladung. Fe</w:t>
      </w:r>
      <w:r w:rsidR="00322E7A" w:rsidRPr="00322E7A">
        <w:rPr>
          <w:vertAlign w:val="superscript"/>
        </w:rPr>
        <w:t>2+</w:t>
      </w:r>
      <w:r w:rsidR="00322E7A">
        <w:t xml:space="preserve"> liegt sogar im Übergangsbereich zwischen hart und weich.</w:t>
      </w:r>
    </w:p>
    <w:p w14:paraId="160A1886" w14:textId="35AD2B41" w:rsidR="00391F3B" w:rsidRDefault="00391F3B" w:rsidP="00322E7A">
      <w:pPr>
        <w:pStyle w:val="Listenabsatz"/>
        <w:numPr>
          <w:ilvl w:val="0"/>
          <w:numId w:val="2"/>
        </w:numPr>
      </w:pPr>
      <w:r>
        <w:t>… höher die Ladungsdichte ist (= Verhältnis von Ladung [möglichst groß] zu Radius [möglichst klein])</w:t>
      </w:r>
    </w:p>
    <w:p w14:paraId="07B66B50" w14:textId="758DDC92" w:rsidR="006443A9" w:rsidRPr="00A046AF" w:rsidRDefault="00391F3B" w:rsidP="006443A9">
      <w:r>
        <w:t>Bsp.:</w:t>
      </w:r>
      <w:r w:rsidR="00322E7A">
        <w:t xml:space="preserve"> </w:t>
      </w:r>
      <w:r w:rsidR="006443A9">
        <w:t>Mg</w:t>
      </w:r>
      <w:r w:rsidR="006443A9" w:rsidRPr="00A046AF">
        <w:rPr>
          <w:vertAlign w:val="superscript"/>
        </w:rPr>
        <w:t>2+</w:t>
      </w:r>
      <w:r w:rsidR="006443A9">
        <w:rPr>
          <w:vertAlign w:val="superscript"/>
        </w:rPr>
        <w:t xml:space="preserve"> </w:t>
      </w:r>
      <w:r w:rsidR="006443A9">
        <w:t>besitzt</w:t>
      </w:r>
      <w:r w:rsidR="006443A9">
        <w:t xml:space="preserve"> </w:t>
      </w:r>
      <w:r w:rsidR="006443A9">
        <w:t>kleinen Radius,</w:t>
      </w:r>
      <w:r w:rsidR="006443A9">
        <w:t xml:space="preserve"> da es sich es in der 2. Periode befindet, und ist geladen. Damit ist</w:t>
      </w:r>
      <w:r w:rsidR="006443A9">
        <w:t xml:space="preserve"> die Ladungsdichte hoch. Dementsprechend wäre Mg</w:t>
      </w:r>
      <w:r w:rsidR="006443A9" w:rsidRPr="00A046AF">
        <w:rPr>
          <w:vertAlign w:val="superscript"/>
        </w:rPr>
        <w:t>2+</w:t>
      </w:r>
      <w:r w:rsidR="006443A9">
        <w:rPr>
          <w:vertAlign w:val="superscript"/>
        </w:rPr>
        <w:t xml:space="preserve"> </w:t>
      </w:r>
      <w:r w:rsidR="006443A9">
        <w:t>hart.</w:t>
      </w:r>
    </w:p>
    <w:p w14:paraId="295A7D1C" w14:textId="21530437" w:rsidR="00A046AF" w:rsidRDefault="00054803">
      <w:r>
        <w:t>Cd</w:t>
      </w:r>
      <w:r w:rsidRPr="00054803">
        <w:rPr>
          <w:vertAlign w:val="superscript"/>
        </w:rPr>
        <w:t>2+</w:t>
      </w:r>
      <w:r>
        <w:rPr>
          <w:vertAlign w:val="superscript"/>
        </w:rPr>
        <w:t xml:space="preserve"> </w:t>
      </w:r>
      <w:r>
        <w:t xml:space="preserve">hingegen </w:t>
      </w:r>
      <w:r w:rsidR="006443A9">
        <w:t xml:space="preserve">befindet sich in der 4. Periode, also </w:t>
      </w:r>
      <w:r>
        <w:t>hat einen deutlich größeren Ionenradius</w:t>
      </w:r>
      <w:r w:rsidR="006443A9">
        <w:t>. Da</w:t>
      </w:r>
      <w:r w:rsidR="00264B00">
        <w:t xml:space="preserve"> es dieselbe </w:t>
      </w:r>
      <w:r>
        <w:t>Ladung</w:t>
      </w:r>
      <w:r w:rsidR="00264B00">
        <w:t xml:space="preserve"> besitzt</w:t>
      </w:r>
      <w:r>
        <w:t xml:space="preserve">, </w:t>
      </w:r>
      <w:r w:rsidR="00264B00">
        <w:t>ergibt sich somit eine geringe</w:t>
      </w:r>
      <w:r>
        <w:t xml:space="preserve"> Ladungsdichte. Cd</w:t>
      </w:r>
      <w:r w:rsidRPr="00054803">
        <w:rPr>
          <w:vertAlign w:val="superscript"/>
        </w:rPr>
        <w:t>2+</w:t>
      </w:r>
      <w:r>
        <w:t xml:space="preserve"> ist dementsprechend weich.</w:t>
      </w:r>
      <w:r w:rsidR="00A046AF">
        <w:t xml:space="preserve"> </w:t>
      </w:r>
    </w:p>
    <w:p w14:paraId="60A3DDD8" w14:textId="614AFBB8" w:rsidR="00391F3B" w:rsidRDefault="00391F3B" w:rsidP="00322E7A">
      <w:pPr>
        <w:pStyle w:val="Listenabsatz"/>
        <w:numPr>
          <w:ilvl w:val="0"/>
          <w:numId w:val="2"/>
        </w:numPr>
      </w:pPr>
      <w:r>
        <w:t>… höher die Oxidationsstufe ist.</w:t>
      </w:r>
    </w:p>
    <w:p w14:paraId="750D4F63" w14:textId="2A75AA17" w:rsidR="00391F3B" w:rsidRDefault="00391F3B">
      <w:r>
        <w:t>Bsp.: In ClO</w:t>
      </w:r>
      <w:r w:rsidRPr="00391F3B">
        <w:rPr>
          <w:vertAlign w:val="subscript"/>
        </w:rPr>
        <w:t>4</w:t>
      </w:r>
      <w:r w:rsidRPr="00391F3B">
        <w:rPr>
          <w:vertAlign w:val="superscript"/>
        </w:rPr>
        <w:t>-</w:t>
      </w:r>
      <w:r>
        <w:t xml:space="preserve"> ist die Oxidationsstufe von Chlor VII, und somit höher als in ClO</w:t>
      </w:r>
      <w:r w:rsidRPr="00391F3B">
        <w:rPr>
          <w:vertAlign w:val="subscript"/>
        </w:rPr>
        <w:t>3</w:t>
      </w:r>
      <w:r w:rsidRPr="00391F3B">
        <w:rPr>
          <w:vertAlign w:val="superscript"/>
        </w:rPr>
        <w:t>-</w:t>
      </w:r>
      <w:r>
        <w:t xml:space="preserve"> mit V. Folglich ist ClO</w:t>
      </w:r>
      <w:r w:rsidRPr="00391F3B">
        <w:rPr>
          <w:vertAlign w:val="subscript"/>
        </w:rPr>
        <w:t>4</w:t>
      </w:r>
      <w:r w:rsidRPr="00391F3B">
        <w:rPr>
          <w:vertAlign w:val="superscript"/>
        </w:rPr>
        <w:t>-</w:t>
      </w:r>
      <w:r>
        <w:t xml:space="preserve"> härter als ClO</w:t>
      </w:r>
      <w:r w:rsidRPr="00391F3B">
        <w:rPr>
          <w:vertAlign w:val="subscript"/>
        </w:rPr>
        <w:t>3</w:t>
      </w:r>
      <w:r w:rsidRPr="00391F3B">
        <w:rPr>
          <w:vertAlign w:val="superscript"/>
        </w:rPr>
        <w:t>-</w:t>
      </w:r>
      <w:r>
        <w:t>.</w:t>
      </w:r>
    </w:p>
    <w:p w14:paraId="664364CD" w14:textId="76E34667" w:rsidR="00391F3B" w:rsidRDefault="00391F3B" w:rsidP="00322E7A">
      <w:pPr>
        <w:pStyle w:val="Listenabsatz"/>
        <w:numPr>
          <w:ilvl w:val="0"/>
          <w:numId w:val="2"/>
        </w:numPr>
      </w:pPr>
      <w:r>
        <w:t>… höher die Elektronegativität ist.</w:t>
      </w:r>
    </w:p>
    <w:p w14:paraId="6DC8CE60" w14:textId="10C5EE9D" w:rsidR="00391F3B" w:rsidRDefault="00391F3B">
      <w:r>
        <w:t>Bsp.:</w:t>
      </w:r>
      <w:r w:rsidR="00E0439A">
        <w:t xml:space="preserve"> </w:t>
      </w:r>
      <w:r w:rsidR="002366FD">
        <w:t>BF</w:t>
      </w:r>
      <w:r w:rsidR="002366FD" w:rsidRPr="005D720C">
        <w:rPr>
          <w:vertAlign w:val="subscript"/>
        </w:rPr>
        <w:t>3</w:t>
      </w:r>
      <w:r w:rsidR="002366FD">
        <w:t xml:space="preserve"> gilt als harte Säure, wohingegen BH</w:t>
      </w:r>
      <w:r w:rsidR="002366FD" w:rsidRPr="005D720C">
        <w:rPr>
          <w:vertAlign w:val="subscript"/>
        </w:rPr>
        <w:t>3</w:t>
      </w:r>
      <w:r w:rsidR="002366FD">
        <w:t xml:space="preserve"> als weiche Säure gilt, was sich unter anderem auf die hohe Elektronegativität von Fluor (</w:t>
      </w:r>
      <w:r w:rsidR="002366FD" w:rsidRPr="007F62C7">
        <w:t>∆EN(</w:t>
      </w:r>
      <w:r w:rsidR="002366FD">
        <w:t>F</w:t>
      </w:r>
      <w:r w:rsidR="002366FD" w:rsidRPr="007F62C7">
        <w:t xml:space="preserve">)= </w:t>
      </w:r>
      <w:r w:rsidR="002366FD">
        <w:t>4,0)</w:t>
      </w:r>
      <w:r w:rsidR="005D720C">
        <w:t xml:space="preserve"> im Vergleich zum H (</w:t>
      </w:r>
      <w:r w:rsidR="005D720C" w:rsidRPr="007F62C7">
        <w:t>∆EN(</w:t>
      </w:r>
      <w:r w:rsidR="005D720C">
        <w:t>H</w:t>
      </w:r>
      <w:r w:rsidR="005D720C" w:rsidRPr="007F62C7">
        <w:t xml:space="preserve">)= </w:t>
      </w:r>
      <w:r w:rsidR="005D720C">
        <w:t>2</w:t>
      </w:r>
      <w:r w:rsidR="005D720C" w:rsidRPr="007F62C7">
        <w:t>,</w:t>
      </w:r>
      <w:r w:rsidR="005D720C">
        <w:t>1)</w:t>
      </w:r>
      <w:r w:rsidR="002366FD">
        <w:t xml:space="preserve"> zurückführen lässt.</w:t>
      </w:r>
    </w:p>
    <w:p w14:paraId="3F7C66DC" w14:textId="55B6B49E" w:rsidR="00391F3B" w:rsidRDefault="00391F3B" w:rsidP="00322E7A">
      <w:pPr>
        <w:pStyle w:val="Listenabsatz"/>
        <w:numPr>
          <w:ilvl w:val="0"/>
          <w:numId w:val="2"/>
        </w:numPr>
      </w:pPr>
      <w:r>
        <w:t>… schlechter die Polarisierbarkeit (</w:t>
      </w:r>
      <w:r w:rsidR="0009289C">
        <w:t xml:space="preserve">= wie sehr reagiert ein Molekül/Ion auf äußere elektrische Einwirkungen. Unter anderem </w:t>
      </w:r>
      <w:r>
        <w:t>abhängig von der Elektronegativität und Molekülgeometrie).</w:t>
      </w:r>
    </w:p>
    <w:p w14:paraId="54E0B334" w14:textId="151A3D69" w:rsidR="000626C7" w:rsidRDefault="00391F3B">
      <w:r>
        <w:t>Bsp.:</w:t>
      </w:r>
      <w:r w:rsidR="0009289C">
        <w:t xml:space="preserve"> </w:t>
      </w:r>
      <w:r w:rsidR="000626C7">
        <w:t>F</w:t>
      </w:r>
      <w:r w:rsidR="000626C7">
        <w:rPr>
          <w:vertAlign w:val="superscript"/>
        </w:rPr>
        <w:t>-</w:t>
      </w:r>
      <w:r w:rsidR="000626C7">
        <w:t xml:space="preserve"> </w:t>
      </w:r>
      <w:r w:rsidR="0009289C">
        <w:t xml:space="preserve">(hart) </w:t>
      </w:r>
      <w:r w:rsidR="000626C7">
        <w:t>ist schlechter polarisierbar als I</w:t>
      </w:r>
      <w:r w:rsidR="000626C7">
        <w:rPr>
          <w:vertAlign w:val="superscript"/>
        </w:rPr>
        <w:t>-</w:t>
      </w:r>
      <w:r w:rsidR="0009289C">
        <w:rPr>
          <w:vertAlign w:val="superscript"/>
        </w:rPr>
        <w:t xml:space="preserve"> </w:t>
      </w:r>
      <w:r w:rsidR="0009289C">
        <w:t xml:space="preserve">(weich). Denn die Elektronen der Valenzschale </w:t>
      </w:r>
      <w:r w:rsidR="0009289C">
        <w:t>beim F</w:t>
      </w:r>
      <w:r w:rsidR="0009289C">
        <w:rPr>
          <w:vertAlign w:val="superscript"/>
        </w:rPr>
        <w:t>-</w:t>
      </w:r>
      <w:r w:rsidR="0009289C">
        <w:rPr>
          <w:vertAlign w:val="superscript"/>
        </w:rPr>
        <w:t xml:space="preserve"> </w:t>
      </w:r>
      <w:r w:rsidR="0009289C">
        <w:t>sind deutlich näher am Kern als bei I</w:t>
      </w:r>
      <w:r w:rsidR="0009289C">
        <w:rPr>
          <w:vertAlign w:val="superscript"/>
        </w:rPr>
        <w:t>-</w:t>
      </w:r>
      <w:r w:rsidR="0009289C">
        <w:t xml:space="preserve"> und somit weniger beeinflussbar durch äußere Ladungseinflüsse (z.B. ein anderes Ion).</w:t>
      </w:r>
    </w:p>
    <w:p w14:paraId="2E8ED3AE" w14:textId="11E9E41C" w:rsidR="002366FD" w:rsidRPr="005D720C" w:rsidRDefault="002366FD">
      <w:r>
        <w:t>NH</w:t>
      </w:r>
      <w:r w:rsidRPr="005D720C">
        <w:rPr>
          <w:vertAlign w:val="subscript"/>
        </w:rPr>
        <w:t>3</w:t>
      </w:r>
      <w:r>
        <w:t xml:space="preserve"> gilt als harte Base, wohingegen PH</w:t>
      </w:r>
      <w:r w:rsidRPr="005D720C">
        <w:rPr>
          <w:vertAlign w:val="subscript"/>
        </w:rPr>
        <w:t>3</w:t>
      </w:r>
      <w:r>
        <w:t xml:space="preserve"> als weiche Base gilt. </w:t>
      </w:r>
      <w:r w:rsidR="006443A9">
        <w:t>Beide sind</w:t>
      </w:r>
      <w:r>
        <w:t xml:space="preserve"> prinzipiell polarisierbar. Aufgrund der hohen </w:t>
      </w:r>
      <w:r w:rsidRPr="007F62C7">
        <w:t>∆EN(</w:t>
      </w:r>
      <w:r>
        <w:t>N</w:t>
      </w:r>
      <w:r w:rsidRPr="007F62C7">
        <w:t xml:space="preserve">)= </w:t>
      </w:r>
      <w:r>
        <w:t xml:space="preserve">3,0 im Vergleich zu </w:t>
      </w:r>
      <w:r w:rsidRPr="007F62C7">
        <w:t>∆EN(</w:t>
      </w:r>
      <w:r>
        <w:t>P</w:t>
      </w:r>
      <w:r w:rsidRPr="007F62C7">
        <w:t xml:space="preserve">)= </w:t>
      </w:r>
      <w:r>
        <w:t>2,2, und der geringeren Größe von Stickstoff in Vergleich zu Phosphor, liegt der Ladungsschwerpunkt innerhalb der Moleküle deutlich mehr beim N als bei P.</w:t>
      </w:r>
      <w:r w:rsidR="005D720C">
        <w:t xml:space="preserve"> Das führt zu einer schlechteres Polarisierbarkeit von NH</w:t>
      </w:r>
      <w:r w:rsidR="005D720C" w:rsidRPr="005D720C">
        <w:rPr>
          <w:vertAlign w:val="subscript"/>
        </w:rPr>
        <w:t>3</w:t>
      </w:r>
      <w:r w:rsidR="005D720C">
        <w:t xml:space="preserve"> im Vergleich zu PH</w:t>
      </w:r>
      <w:r w:rsidR="005D720C" w:rsidRPr="005D720C">
        <w:rPr>
          <w:vertAlign w:val="subscript"/>
        </w:rPr>
        <w:t>3</w:t>
      </w:r>
      <w:r w:rsidR="005D720C">
        <w:t>.</w:t>
      </w:r>
    </w:p>
    <w:sectPr w:rsidR="002366FD" w:rsidRPr="005D720C" w:rsidSect="002366FD">
      <w:pgSz w:w="11906" w:h="16838"/>
      <w:pgMar w:top="568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2E4A"/>
    <w:multiLevelType w:val="hybridMultilevel"/>
    <w:tmpl w:val="3ED4CE70"/>
    <w:lvl w:ilvl="0" w:tplc="8F44A4F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750DCA"/>
    <w:multiLevelType w:val="hybridMultilevel"/>
    <w:tmpl w:val="3DE008C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173224">
    <w:abstractNumId w:val="0"/>
  </w:num>
  <w:num w:numId="2" w16cid:durableId="607664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03"/>
    <w:rsid w:val="00054803"/>
    <w:rsid w:val="000626C7"/>
    <w:rsid w:val="0009289C"/>
    <w:rsid w:val="00115C36"/>
    <w:rsid w:val="00133F28"/>
    <w:rsid w:val="00141875"/>
    <w:rsid w:val="00164F2F"/>
    <w:rsid w:val="001B09D0"/>
    <w:rsid w:val="00215B98"/>
    <w:rsid w:val="002366FD"/>
    <w:rsid w:val="00264B00"/>
    <w:rsid w:val="00322161"/>
    <w:rsid w:val="00322E7A"/>
    <w:rsid w:val="00384FCF"/>
    <w:rsid w:val="00391F3B"/>
    <w:rsid w:val="003D01FD"/>
    <w:rsid w:val="00521ABC"/>
    <w:rsid w:val="005D720C"/>
    <w:rsid w:val="0062418B"/>
    <w:rsid w:val="006443A9"/>
    <w:rsid w:val="006A130C"/>
    <w:rsid w:val="00741FB8"/>
    <w:rsid w:val="007F62C7"/>
    <w:rsid w:val="00917C2E"/>
    <w:rsid w:val="009429DA"/>
    <w:rsid w:val="009A2E4C"/>
    <w:rsid w:val="009B0CE0"/>
    <w:rsid w:val="00A046AF"/>
    <w:rsid w:val="00A13DA7"/>
    <w:rsid w:val="00A235D2"/>
    <w:rsid w:val="00B06003"/>
    <w:rsid w:val="00B075F4"/>
    <w:rsid w:val="00B40829"/>
    <w:rsid w:val="00BA4BBD"/>
    <w:rsid w:val="00BE3E1A"/>
    <w:rsid w:val="00D408A3"/>
    <w:rsid w:val="00D64F76"/>
    <w:rsid w:val="00E0439A"/>
    <w:rsid w:val="00EA64F1"/>
    <w:rsid w:val="00EF3FFE"/>
    <w:rsid w:val="00F01AD0"/>
    <w:rsid w:val="00F2599C"/>
    <w:rsid w:val="00F460B0"/>
    <w:rsid w:val="00FA1F42"/>
    <w:rsid w:val="00FC0063"/>
    <w:rsid w:val="00FD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2F0C5"/>
  <w15:chartTrackingRefBased/>
  <w15:docId w15:val="{E81CA7A9-8C89-4C7A-809C-8C55AA93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B0CE0"/>
    <w:pPr>
      <w:keepNext/>
      <w:keepLines/>
      <w:spacing w:before="36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8"/>
      <w:u w:val="single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384FCF"/>
    <w:pPr>
      <w:keepNext/>
      <w:keepLines/>
      <w:spacing w:before="160" w:after="80"/>
      <w:outlineLvl w:val="1"/>
    </w:pPr>
    <w:rPr>
      <w:rFonts w:eastAsiaTheme="majorEastAsia" w:cstheme="majorBidi"/>
      <w:sz w:val="22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autoRedefine/>
    <w:uiPriority w:val="9"/>
    <w:semiHidden/>
    <w:unhideWhenUsed/>
    <w:qFormat/>
    <w:rsid w:val="00D64F76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2"/>
      <w:szCs w:val="28"/>
      <w:u w:val="singl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60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60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60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60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60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60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0CE0"/>
    <w:rPr>
      <w:rFonts w:asciiTheme="majorHAnsi" w:eastAsiaTheme="majorEastAsia" w:hAnsiTheme="majorHAnsi" w:cstheme="majorBidi"/>
      <w:b/>
      <w:bCs/>
      <w:color w:val="000000" w:themeColor="text1"/>
      <w:sz w:val="26"/>
      <w:szCs w:val="28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84FCF"/>
    <w:rPr>
      <w:rFonts w:eastAsiaTheme="majorEastAsia" w:cstheme="majorBidi"/>
      <w:sz w:val="22"/>
      <w:szCs w:val="32"/>
      <w:u w:val="single"/>
      <w:lang w:val="en-CA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64F76"/>
    <w:rPr>
      <w:rFonts w:eastAsiaTheme="majorEastAsia" w:cstheme="majorBidi"/>
      <w:color w:val="000000" w:themeColor="text1"/>
      <w:sz w:val="22"/>
      <w:szCs w:val="28"/>
      <w:u w:val="single"/>
      <w:lang w:val="en-CA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60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60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60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60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60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60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6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6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60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60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6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60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60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60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6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60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600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06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Lubinic</dc:creator>
  <cp:keywords/>
  <dc:description/>
  <cp:lastModifiedBy>Aleksandar Lubinic</cp:lastModifiedBy>
  <cp:revision>21</cp:revision>
  <dcterms:created xsi:type="dcterms:W3CDTF">2026-04-27T10:12:00Z</dcterms:created>
  <dcterms:modified xsi:type="dcterms:W3CDTF">2026-05-24T10:52:00Z</dcterms:modified>
</cp:coreProperties>
</file>