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2E74B5"/>
          <w:sz w:val="20"/>
        </w:rPr>
        <w:t>TECHNISCHE PROJEKTÜBERGABE</w:t>
      </w:r>
    </w:p>
    <w:p>
      <w:pPr>
        <w:spacing w:after="80"/>
      </w:pPr>
      <w:r>
        <w:rPr>
          <w:rFonts w:ascii="Calibri" w:hAnsi="Calibri"/>
          <w:b/>
          <w:color w:val="181F2A"/>
          <w:sz w:val="48"/>
        </w:rPr>
        <w:t>UMR – Useless Mobs Reworked</w:t>
      </w:r>
    </w:p>
    <w:p>
      <w:pPr>
        <w:spacing w:after="320"/>
      </w:pPr>
      <w:r>
        <w:rPr>
          <w:rFonts w:ascii="Calibri" w:hAnsi="Calibri"/>
          <w:color w:val="5C6674"/>
          <w:sz w:val="28"/>
        </w:rPr>
        <w:t>Kronen-, Rüstungs- und Corrupted-Silverfish-Arbeiten</w:t>
      </w:r>
    </w:p>
    <w:p>
      <w:pPr>
        <w:spacing w:after="40"/>
      </w:pPr>
      <w:r>
        <w:rPr>
          <w:rFonts w:ascii="Calibri" w:hAnsi="Calibri"/>
          <w:b/>
          <w:color w:val="181F2A"/>
          <w:sz w:val="21"/>
        </w:rPr>
        <w:t xml:space="preserve">Stand: </w:t>
      </w:r>
      <w:r>
        <w:rPr>
          <w:rFonts w:ascii="Calibri" w:hAnsi="Calibri"/>
          <w:color w:val="181F2A"/>
          <w:sz w:val="21"/>
        </w:rPr>
        <w:t>18. August 2026</w:t>
      </w:r>
    </w:p>
    <w:p>
      <w:pPr>
        <w:spacing w:after="40"/>
      </w:pPr>
      <w:r>
        <w:rPr>
          <w:rFonts w:ascii="Calibri" w:hAnsi="Calibri"/>
          <w:b/>
          <w:color w:val="181F2A"/>
          <w:sz w:val="21"/>
        </w:rPr>
        <w:t xml:space="preserve">Arbeitsbranch: </w:t>
      </w:r>
      <w:r>
        <w:rPr>
          <w:rFonts w:ascii="Calibri" w:hAnsi="Calibri"/>
          <w:color w:val="181F2A"/>
          <w:sz w:val="21"/>
        </w:rPr>
        <w:t>feature/corrupted-silverfish-v3</w:t>
      </w:r>
    </w:p>
    <w:p>
      <w:pPr>
        <w:spacing w:after="40"/>
      </w:pPr>
      <w:r>
        <w:rPr>
          <w:rFonts w:ascii="Calibri" w:hAnsi="Calibri"/>
          <w:b/>
          <w:color w:val="181F2A"/>
          <w:sz w:val="21"/>
        </w:rPr>
        <w:t xml:space="preserve">Ziel-Repository: </w:t>
      </w:r>
      <w:r>
        <w:rPr>
          <w:rFonts w:ascii="Calibri" w:hAnsi="Calibri"/>
          <w:color w:val="181F2A"/>
          <w:sz w:val="21"/>
        </w:rPr>
        <w:t>git@github.com:AleksZyro/UMR-Useless-mobs-reworked-Mod.git</w:t>
      </w:r>
    </w:p>
    <w:p>
      <w:pPr>
        <w:spacing w:after="40"/>
      </w:pPr>
      <w:r>
        <w:rPr>
          <w:rFonts w:ascii="Calibri" w:hAnsi="Calibri"/>
          <w:b/>
          <w:color w:val="181F2A"/>
          <w:sz w:val="21"/>
        </w:rPr>
        <w:t xml:space="preserve">Status: </w:t>
      </w:r>
      <w:r>
        <w:rPr>
          <w:rFonts w:ascii="Calibri" w:hAnsi="Calibri"/>
          <w:color w:val="181F2A"/>
          <w:sz w:val="21"/>
        </w:rPr>
        <w:t>Arbeitsstand – noch nicht als Release freigegeben</w:t>
      </w:r>
    </w:p>
    <w:p>
      <w:pPr>
        <w:spacing w:before="320" w:after="200"/>
        <w:ind w:left="259" w:right="259"/>
      </w:pPr>
      <w:r>
        <w:rPr>
          <w:rFonts w:ascii="Calibri" w:hAnsi="Calibri"/>
          <w:b/>
          <w:color w:val="1F4D78"/>
          <w:sz w:val="22"/>
        </w:rPr>
        <w:t>Kernaussage: Die dualen Kronenformen, Rezepte und acht detaillierten Assets sind vorhanden. Zwei Generator-Härtungen sowie Curio-Positionierung und echter Clienttest fehlen noch. Dieser Branch ist deshalb ein geprüfter Zwischenstand, kein fertiger Release.</w:t>
      </w:r>
    </w:p>
    <w:p>
      <w:pPr>
        <w:pStyle w:val="Heading1"/>
      </w:pPr>
      <w:r>
        <w:t>1. Aktueller Projektstand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50"/>
        <w:gridCol w:w="1350"/>
        <w:gridCol w:w="5760"/>
      </w:tblGrid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Bereich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Status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Nachweis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81F2A"/>
                <w:sz w:val="19"/>
              </w:rPr>
              <w:t>Kronen-Konzept</w:t>
            </w:r>
          </w:p>
        </w:tc>
        <w:tc>
          <w:tcPr>
            <w:tcW w:type="dxa" w:w="1350"/>
            <w:shd w:fill="E8F3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81F2A"/>
                <w:sz w:val="19"/>
              </w:rPr>
              <w:t>Fertig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81F2A"/>
                <w:sz w:val="19"/>
              </w:rPr>
              <w:t>4 Familien, Kampf-/Königsform, vier Ansichten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81F2A"/>
                <w:sz w:val="19"/>
              </w:rPr>
              <w:t>Items und Rezepte</w:t>
            </w:r>
          </w:p>
        </w:tc>
        <w:tc>
          <w:tcPr>
            <w:tcW w:type="dxa" w:w="1350"/>
            <w:shd w:fill="E8F3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81F2A"/>
                <w:sz w:val="19"/>
              </w:rPr>
              <w:t>Fertig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81F2A"/>
                <w:sz w:val="19"/>
              </w:rPr>
              <w:t>8 IDs, 4 Upgrades, 4 kostenlose Rückwandlungen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81F2A"/>
                <w:sz w:val="19"/>
              </w:rPr>
              <w:t>3D-Modelle/Texturen</w:t>
            </w:r>
          </w:p>
        </w:tc>
        <w:tc>
          <w:tcPr>
            <w:tcW w:type="dxa" w:w="1350"/>
            <w:shd w:fill="E8F3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81F2A"/>
                <w:sz w:val="19"/>
              </w:rPr>
              <w:t>Fertig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81F2A"/>
                <w:sz w:val="19"/>
              </w:rPr>
              <w:t>8 Modelle, 8 deterministische 64×64-RGBA-Texturen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81F2A"/>
                <w:sz w:val="19"/>
              </w:rPr>
              <w:t>Asset-Verträge</w:t>
            </w:r>
          </w:p>
        </w:tc>
        <w:tc>
          <w:tcPr>
            <w:tcW w:type="dxa" w:w="1350"/>
            <w:shd w:fill="E8F3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81F2A"/>
                <w:sz w:val="19"/>
              </w:rPr>
              <w:t>45/45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81F2A"/>
                <w:sz w:val="19"/>
              </w:rPr>
              <w:t>Geometrie, UV, Rollback, Determinismus und Parallelität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81F2A"/>
                <w:sz w:val="19"/>
              </w:rPr>
              <w:t>Curio-/Helmposition</w:t>
            </w:r>
          </w:p>
        </w:tc>
        <w:tc>
          <w:tcPr>
            <w:tcW w:type="dxa" w:w="1350"/>
            <w:shd w:fill="FFF3C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81F2A"/>
                <w:sz w:val="19"/>
              </w:rPr>
              <w:t>Offen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81F2A"/>
                <w:sz w:val="19"/>
              </w:rPr>
              <w:t>Rendering und Höhenversatz noch integrieren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81F2A"/>
                <w:sz w:val="19"/>
              </w:rPr>
              <w:t>Echter Forge-Clienttest</w:t>
            </w:r>
          </w:p>
        </w:tc>
        <w:tc>
          <w:tcPr>
            <w:tcW w:type="dxa" w:w="1350"/>
            <w:shd w:fill="FFF3C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81F2A"/>
                <w:sz w:val="19"/>
              </w:rPr>
              <w:t>Offen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81F2A"/>
                <w:sz w:val="19"/>
              </w:rPr>
              <w:t>Abnahme von Kopf, Helm, Inventar und beiden Formen</w:t>
            </w:r>
          </w:p>
        </w:tc>
      </w:tr>
    </w:tbl>
    <w:p>
      <w:pPr>
        <w:pStyle w:val="Heading1"/>
      </w:pPr>
      <w:r>
        <w:t>2. Umgesetzte Kronenarchitektur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81F2A"/>
          <w:sz w:val="22"/>
        </w:rPr>
        <w:t>Vier Familien: Void, Celestial, Living und Balance.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81F2A"/>
          <w:sz w:val="22"/>
        </w:rPr>
        <w:t>Zwei visuelle Formen pro Familie: kompakte Kampfform und höhere königliche Form.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81F2A"/>
          <w:sz w:val="22"/>
        </w:rPr>
        <w:t>Upgrade: Kampfkrone + 7 Diamanten + 1 Netherite-Barren ergibt die königliche Form.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81F2A"/>
          <w:sz w:val="22"/>
        </w:rPr>
        <w:t>Rückwandlung: Eine königliche Krone ergibt kostenlos wieder die Kampfkrone.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81F2A"/>
          <w:sz w:val="22"/>
        </w:rPr>
        <w:t>Effekte und Werte bleiben zwischen beiden Formen identisch; die Form ist ein visueller Wechsel.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81F2A"/>
          <w:sz w:val="22"/>
        </w:rPr>
        <w:t>Die Balance-Rückwandlung löst keinen zweiten Endgame-Fortschritt aus und zählt beide Formen korrekt.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al_form_crow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C6674"/>
          <w:sz w:val="18"/>
        </w:rPr>
        <w:t>Abbildung 1: Freigegebenes Konzeptblatt mit Kampf- und Königsformen.</w:t>
      </w:r>
    </w:p>
    <w:p>
      <w:r>
        <w:br w:type="page"/>
      </w:r>
    </w:p>
    <w:p>
      <w:pPr>
        <w:pStyle w:val="Heading1"/>
      </w:pPr>
      <w:r>
        <w:t>3. Erzeugte 3D-Assets</w:t>
      </w:r>
    </w:p>
    <w:p>
      <w:pPr>
        <w:spacing w:after="200"/>
      </w:pPr>
      <w:r>
        <w:t>Der deterministische Generator erzeugt acht Minecraft-Itemmodelle und acht 64×64-RGBA-Texturen. Combat-Modelle besitzen drei Spitzen, Royal-Modelle fünf Spitzen. Ringe, Edelsteine und Seitenornamente sind zusammenhängend; UVs und aktive Texturverweise werden geprüft.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wn_forms_conta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5C6674"/>
          <w:sz w:val="18"/>
        </w:rPr>
        <w:t>Abbildung 2: Tatsächlich gerenderte acht Kronenmodelle – obere Reihe Kampf, untere Reihe Royal.</w:t>
      </w:r>
    </w:p>
    <w:p>
      <w:pPr>
        <w:pStyle w:val="Heading1"/>
      </w:pPr>
      <w:r>
        <w:t>4. Technische Qualitätssicherung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81F2A"/>
          <w:sz w:val="22"/>
        </w:rPr>
        <w:t>45 von 45 fokussierten Kronen-Assettests bestehen auf dem aktuellen Generatorstand.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81F2A"/>
          <w:sz w:val="22"/>
        </w:rPr>
        <w:t>Zweifache Generierung liefert byteidentische Ergebnisse.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81F2A"/>
          <w:sz w:val="22"/>
        </w:rPr>
        <w:t>Fehler beim Kandidaten-, Publish- oder Verify-Schritt rollen alle 16 Assets zurück.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81F2A"/>
          <w:sz w:val="22"/>
        </w:rPr>
        <w:t>Pfad-Traversal, falsche Gross-/Kleinschreibung, Alias-Zyklen und fehlende aktive Texturen werden abgelehnt.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81F2A"/>
          <w:sz w:val="22"/>
        </w:rPr>
        <w:t>Bestehende fremde ungetrackte Silverfish-/Tripo-Dateien wurden weder committed noch verändert.</w:t>
      </w:r>
    </w:p>
    <w:p>
      <w:pPr>
        <w:pStyle w:val="Heading1"/>
      </w:pPr>
      <w:r>
        <w:t>5. Ehrlich offene Punkte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600"/>
        <w:gridCol w:w="39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Offener Punkt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Auswirkung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Nächste Massnahme</w:t>
            </w:r>
          </w:p>
        </w:tc>
      </w:tr>
      <w:tr>
        <w:tc>
          <w:tcPr>
            <w:tcW w:type="dxa" w:w="1800"/>
            <w:shd w:fill="FBE9E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81F2A"/>
                <w:sz w:val="18"/>
              </w:rPr>
              <w:t>Royal-Spitzen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81F2A"/>
                <w:sz w:val="18"/>
              </w:rPr>
              <w:t>Die sichtbare Gesamthöhe muss rotationsbereinigt exakt 3,5/5/6,5/5/3,5 betragen.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81F2A"/>
                <w:sz w:val="18"/>
              </w:rPr>
              <w:t>Generator und Test anpassen, Assets neu erzeugen.</w:t>
            </w:r>
          </w:p>
        </w:tc>
      </w:tr>
      <w:tr>
        <w:tc>
          <w:tcPr>
            <w:tcW w:type="dxa" w:w="1800"/>
            <w:shd w:fill="FBE9E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81F2A"/>
                <w:sz w:val="18"/>
              </w:rPr>
              <w:t>Generator-Lock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81F2A"/>
                <w:sz w:val="18"/>
              </w:rPr>
              <w:t>Ein ersetztes Lockfile darf beim Freigeben nicht als fremdes Lock gelöscht werden.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81F2A"/>
                <w:sz w:val="18"/>
              </w:rPr>
              <w:t>Datei-Identität und Besitz-Token vor dem Löschen prüfen.</w:t>
            </w:r>
          </w:p>
        </w:tc>
      </w:tr>
      <w:tr>
        <w:tc>
          <w:tcPr>
            <w:tcW w:type="dxa" w:w="1800"/>
            <w:shd w:fill="FFF3C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81F2A"/>
                <w:sz w:val="18"/>
              </w:rPr>
              <w:t>Gradle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81F2A"/>
                <w:sz w:val="18"/>
              </w:rPr>
              <w:t>Gradle 8.8 ist lokal nicht gecacht; Download wurde von der Umgebung blockiert.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81F2A"/>
                <w:sz w:val="18"/>
              </w:rPr>
              <w:t>Im echten Repository/CI oder mit freigegebenem Netzwerk kompilieren.</w:t>
            </w:r>
          </w:p>
        </w:tc>
      </w:tr>
    </w:tbl>
    <w:p>
      <w:pPr>
        <w:pStyle w:val="Heading1"/>
      </w:pPr>
      <w:r>
        <w:t>6. Empfohlene Abschlussreihenfolge</w:t>
      </w:r>
    </w:p>
    <w:p>
      <w:pPr>
        <w:pStyle w:val="ListNumber"/>
        <w:spacing w:after="160"/>
      </w:pPr>
      <w:r>
        <w:rPr>
          <w:rFonts w:ascii="Calibri" w:hAnsi="Calibri"/>
          <w:color w:val="181F2A"/>
          <w:sz w:val="22"/>
        </w:rPr>
        <w:t>Royal-Spitzen rotationsbereinigt auf die exakt geforderten sichtbaren Höhen bringen und Kontaktblatt neu erzeugen.</w:t>
      </w:r>
    </w:p>
    <w:p>
      <w:pPr>
        <w:pStyle w:val="ListNumber"/>
        <w:spacing w:after="160"/>
      </w:pPr>
      <w:r>
        <w:rPr>
          <w:rFonts w:ascii="Calibri" w:hAnsi="Calibri"/>
          <w:color w:val="181F2A"/>
          <w:sz w:val="22"/>
        </w:rPr>
        <w:t>Generator-Lock mit offener Dateibeschreibung, Besitz-Token und Identitätsprüfung absichern.</w:t>
      </w:r>
    </w:p>
    <w:p>
      <w:pPr>
        <w:pStyle w:val="ListNumber"/>
        <w:spacing w:after="160"/>
      </w:pPr>
      <w:r>
        <w:rPr>
          <w:rFonts w:ascii="Calibri" w:hAnsi="Calibri"/>
          <w:color w:val="181F2A"/>
          <w:sz w:val="22"/>
        </w:rPr>
        <w:t>Curio-Renderer für alle acht IDs registrieren und Royal-/Helmversatz integrieren.</w:t>
      </w:r>
    </w:p>
    <w:p>
      <w:pPr>
        <w:pStyle w:val="ListNumber"/>
        <w:spacing w:after="160"/>
      </w:pPr>
      <w:r>
        <w:rPr>
          <w:rFonts w:ascii="Calibri" w:hAnsi="Calibri"/>
          <w:color w:val="181F2A"/>
          <w:sz w:val="22"/>
        </w:rPr>
        <w:t>Balance-Krone weiterhin als Helmitem und zusätzlich im Curio-Slot unterstützen.</w:t>
      </w:r>
    </w:p>
    <w:p>
      <w:pPr>
        <w:pStyle w:val="ListNumber"/>
        <w:spacing w:after="160"/>
      </w:pPr>
      <w:r>
        <w:rPr>
          <w:rFonts w:ascii="Calibri" w:hAnsi="Calibri"/>
          <w:color w:val="181F2A"/>
          <w:sz w:val="22"/>
        </w:rPr>
        <w:t>Gradle-Kompilierung im echten Repository oder CI ausführen.</w:t>
      </w:r>
    </w:p>
    <w:p>
      <w:pPr>
        <w:pStyle w:val="ListNumber"/>
        <w:spacing w:after="160"/>
      </w:pPr>
      <w:r>
        <w:rPr>
          <w:rFonts w:ascii="Calibri" w:hAnsi="Calibri"/>
          <w:color w:val="181F2A"/>
          <w:sz w:val="22"/>
        </w:rPr>
        <w:t>Echte Forge-Aufnahmen für Kampf/Royal, mit und ohne Helm, erstellen und visuell abnehmen.</w:t>
      </w:r>
    </w:p>
    <w:p>
      <w:pPr>
        <w:pStyle w:val="Heading1"/>
      </w:pPr>
      <w:r>
        <w:t>7. Git-Übergabe</w:t>
      </w:r>
    </w:p>
    <w:p>
      <w:pPr>
        <w:spacing w:after="80"/>
      </w:pPr>
      <w:r>
        <w:t>Der aktuelle Arbeitsstand wird als eigener Feature-Branch in das folgende Repository übertragen:</w:t>
      </w:r>
    </w:p>
    <w:p>
      <w:pPr>
        <w:spacing w:after="160"/>
        <w:ind w:left="360"/>
      </w:pPr>
      <w:r>
        <w:rPr>
          <w:rFonts w:ascii="Calibri" w:hAnsi="Calibri"/>
          <w:b/>
          <w:color w:val="1F4D78"/>
          <w:sz w:val="21"/>
        </w:rPr>
        <w:t>git@github.com:AleksZyro/UMR-Useless-mobs-reworked-Mod.git</w:t>
      </w:r>
    </w:p>
    <w:p>
      <w:r>
        <w:t>Sicherheitsentscheidung: Der Zwischenstand wird nicht direkt über den Zielbranch main geschrieben. Er wird als Feature-Branch veröffentlicht, damit Diff, Tests und visuelle Abnahme vor einer Zusammenführung geprüft werden können.</w:t>
      </w:r>
    </w:p>
    <w:p>
      <w:pPr>
        <w:pStyle w:val="Heading1"/>
      </w:pPr>
      <w:r>
        <w:t>8. Abschlusskriterien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81F2A"/>
          <w:sz w:val="22"/>
        </w:rPr>
        <w:t>Alle fokussierten Kronen- und Rüstungstests grün.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81F2A"/>
          <w:sz w:val="22"/>
        </w:rPr>
        <w:t>Gradle compileJava erfolgreich.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81F2A"/>
          <w:sz w:val="22"/>
        </w:rPr>
        <w:t>Keine fehlenden oder falsch aufgelösten Ressourcen im Forge-Log.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81F2A"/>
          <w:sz w:val="22"/>
        </w:rPr>
        <w:t>Alle acht Kronen im Curio-Slot korrekt auf Kopf und Helm positioniert.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81F2A"/>
          <w:sz w:val="22"/>
        </w:rPr>
        <w:t>Kampf- und Royal-Formen im echten Client eindeutig unterscheidbar.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181F2A"/>
          <w:sz w:val="22"/>
        </w:rPr>
        <w:t>Keine losgelösten Teile, Schnitte, Z-Fighting- oder Clipping-Artefakte.</w:t>
      </w:r>
    </w:p>
    <w:p>
      <w:r>
        <w:br w:type="page"/>
      </w:r>
    </w:p>
    <w:p>
      <w:pPr>
        <w:pStyle w:val="Heading1"/>
      </w:pPr>
      <w:r>
        <w:t>9. Gesamtprojekt – nicht nur Kronen</w:t>
      </w:r>
    </w:p>
    <w:p>
      <w:pPr>
        <w:spacing w:after="200"/>
      </w:pPr>
      <w:r>
        <w:t>Dieser ergänzte Teil dokumentiert den gesamten bearbeiteten UMR-Umfang. Das Repository umfasst aktuell 137 Java-Quelldateien, 614 Ressourcen, 297 Dateien unter Modelle und 19 Python-Testmodule. Die visuelle Arbeit betrifft Kreaturen, Rüstungen, Kronen, Items, Texturen, Animationen, Sounds und Laufzeitintegration.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Teilbereich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Vorhandener Stand</w:t>
            </w:r>
          </w:p>
        </w:tc>
        <w:tc>
          <w:tcPr>
            <w:tcW w:type="dxa" w:w="3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Noch erforderlich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1F2A"/>
                <w:sz w:val="18"/>
              </w:rPr>
              <w:t>Corrupted Silverfish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1F2A"/>
                <w:sz w:val="18"/>
              </w:rPr>
              <w:t>Tripo-Quelle, v5-Mesh, Texturen, fünf Animationen, Glow, Sounds und Hitbox-Arbeit vorhanden.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1F2A"/>
                <w:sz w:val="18"/>
              </w:rPr>
              <w:t>Echter bewegter Clienttest, finale Naht-/Laufrichtungsabnahme und Produktionsfreigabe.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1F2A"/>
                <w:sz w:val="18"/>
              </w:rPr>
              <w:t>Rüstungsfamilien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1F2A"/>
                <w:sz w:val="18"/>
              </w:rPr>
              <w:t>Void, Celestial, Living und Balance mit Helm, Brustplatte, Hose und Stiefeln konzipiert.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1F2A"/>
                <w:sz w:val="18"/>
              </w:rPr>
              <w:t>High-Poly-Quellen sauber auf Spieler-Bones übertragen; keine automatische Tausend-Würfel-Konvertierung.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1F2A"/>
                <w:sz w:val="18"/>
              </w:rPr>
              <w:t>Kronen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1F2A"/>
                <w:sz w:val="18"/>
              </w:rPr>
              <w:t>Vier Familien, Kampf-/Royal-Form, Rezepte, Items und acht generierte Assets.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1F2A"/>
                <w:sz w:val="18"/>
              </w:rPr>
              <w:t>Zwei Generator-Fixes, Curio-/Helmposition und Clientabnahme.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1F2A"/>
                <w:sz w:val="18"/>
              </w:rPr>
              <w:t>Items und Inventargrafiken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1F2A"/>
                <w:sz w:val="18"/>
              </w:rPr>
              <w:t>Getrennte Itemmodelle und Texturen sowie frühere Forge-Aufnahmen vorhanden.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1F2A"/>
                <w:sz w:val="18"/>
              </w:rPr>
              <w:t>Alle Icons und Handansichten familienweise gegen gleiche Qualitätskriterien prüfen.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1F2A"/>
                <w:sz w:val="18"/>
              </w:rPr>
              <w:t>Audio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1F2A"/>
                <w:sz w:val="18"/>
              </w:rPr>
              <w:t>Corrupted-Silverfish-Soundarbeit wurde integriert bzw. vorbereitet.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1F2A"/>
                <w:sz w:val="18"/>
              </w:rPr>
              <w:t>Im echten Client Lautstärke, Loop, Abstand und Ereigniszuordnung kontrollieren.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1F2A"/>
                <w:sz w:val="18"/>
              </w:rPr>
              <w:t>Build/Release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1F2A"/>
                <w:sz w:val="18"/>
              </w:rPr>
              <w:t>Umfangreiche statische und Python-Verträge vorhanden.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1F2A"/>
                <w:sz w:val="18"/>
              </w:rPr>
              <w:t>Gradle 8.8 kompilieren, RunClient prüfen, Release-Diff und GitHub-CI abschliessen.</w:t>
            </w:r>
          </w:p>
        </w:tc>
      </w:tr>
    </w:tbl>
    <w:p>
      <w:pPr>
        <w:pStyle w:val="Heading1"/>
      </w:pPr>
      <w:r>
        <w:t>10. Corrupted Silverfish</w:t>
      </w:r>
    </w:p>
    <w:p>
      <w:pPr>
        <w:pStyle w:val="ListBullet"/>
        <w:spacing w:after="160" w:line="280" w:lineRule="auto"/>
      </w:pPr>
      <w:r>
        <w:rPr>
          <w:rFonts w:ascii="Calibri" w:hAnsi="Calibri"/>
          <w:b w:val="0"/>
          <w:i w:val="0"/>
          <w:color w:val="181F2A"/>
          <w:sz w:val="22"/>
        </w:rPr>
        <w:t>Das gute visuelle Ergebnis stammt aus einer Tripo-High-Poly-Quelle und nicht aus einer simplen Bild-zu-Würfel-Automatik.</w:t>
      </w:r>
    </w:p>
    <w:p>
      <w:pPr>
        <w:pStyle w:val="ListBullet"/>
        <w:spacing w:after="160" w:line="280" w:lineRule="auto"/>
      </w:pPr>
      <w:r>
        <w:rPr>
          <w:rFonts w:ascii="Calibri" w:hAnsi="Calibri"/>
          <w:b w:val="0"/>
          <w:i w:val="0"/>
          <w:color w:val="181F2A"/>
          <w:sz w:val="22"/>
        </w:rPr>
        <w:t>Die Runtime-Struktur enthält Entity, Renderer, Model, Custom Mesh, Glow Layer, Tracker und Events.</w:t>
      </w:r>
    </w:p>
    <w:p>
      <w:pPr>
        <w:pStyle w:val="ListBullet"/>
        <w:spacing w:after="160" w:line="280" w:lineRule="auto"/>
      </w:pPr>
      <w:r>
        <w:rPr>
          <w:rFonts w:ascii="Calibri" w:hAnsi="Calibri"/>
          <w:b w:val="0"/>
          <w:i w:val="0"/>
          <w:color w:val="181F2A"/>
          <w:sz w:val="22"/>
        </w:rPr>
        <w:t>Die Asset-Pipeline besitzt Geometrie, Grundtextur, Glowmask, fünf Animationen, Validator und Preview-Pack.</w:t>
      </w:r>
    </w:p>
    <w:p>
      <w:pPr>
        <w:pStyle w:val="ListBullet"/>
        <w:spacing w:after="160" w:line="280" w:lineRule="auto"/>
      </w:pPr>
      <w:r>
        <w:rPr>
          <w:rFonts w:ascii="Calibri" w:hAnsi="Calibri"/>
          <w:b w:val="0"/>
          <w:i w:val="0"/>
          <w:color w:val="181F2A"/>
          <w:sz w:val="22"/>
        </w:rPr>
        <w:t>Bekannte Qualitätsregeln: geschlossene Körperhülle, keine Schnittnaht durch den Torso, natürliche Tripod-Beinbewegung und korrekte Vorwärtsrichtung.</w:t>
      </w:r>
    </w:p>
    <w:p>
      <w:pPr>
        <w:pStyle w:val="ListBullet"/>
        <w:spacing w:after="160" w:line="280" w:lineRule="auto"/>
      </w:pPr>
      <w:r>
        <w:rPr>
          <w:rFonts w:ascii="Calibri" w:hAnsi="Calibri"/>
          <w:b w:val="0"/>
          <w:i w:val="0"/>
          <w:color w:val="181F2A"/>
          <w:sz w:val="22"/>
        </w:rPr>
        <w:t>Hitbox und Sounds müssen immer im echten Forge-Client zusammen mit dem sichtbaren Modell kontrolliert werden.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22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upted Silverfish v5 Tripo Mes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2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C6674"/>
          <w:sz w:val="18"/>
        </w:rPr>
        <w:t>Abbildung 3: Lokale Tripo-/Mesh-Referenz des Corrupted Silverfish.</w:t>
      </w:r>
    </w:p>
    <w:p>
      <w:pPr>
        <w:pStyle w:val="Heading1"/>
      </w:pPr>
      <w:r>
        <w:t>11. Tripo-Rüstungsquellen</w:t>
      </w:r>
    </w:p>
    <w:p>
      <w:pPr>
        <w:spacing w:after="160"/>
      </w:pPr>
      <w:r>
        <w:t>Die gleiche Tripo-Webseite wie beim Silverfish wurde bereits am 16. August 2026 verwendet. Im Konto sind 16 Rüstungsprojekte dokumentiert: vier Familien × vier Teile. Lokal liegen 15 originale GLB-Dateien mit jeweils rund 3,0–3,5 MB vor; beim True-Void-Helm liegt eine Retopo-FBX-Datei vor. Ein erneutes Generieren würde Credits verbrauchen, ohne die eigentliche Ursache zu lösen.</w:t>
      </w:r>
    </w:p>
    <w:p>
      <w:pPr>
        <w:pStyle w:val="ListBullet"/>
        <w:spacing w:after="160" w:line="280" w:lineRule="auto"/>
      </w:pPr>
      <w:r>
        <w:rPr>
          <w:rFonts w:ascii="Calibri" w:hAnsi="Calibri"/>
          <w:b w:val="0"/>
          <w:i w:val="0"/>
          <w:color w:val="181F2A"/>
          <w:sz w:val="22"/>
        </w:rPr>
        <w:t>Designquelle: die vorhandenen Tripo-High-Poly-Modelle und ihre Texturen.</w:t>
      </w:r>
    </w:p>
    <w:p>
      <w:pPr>
        <w:pStyle w:val="ListBullet"/>
        <w:spacing w:after="160" w:line="280" w:lineRule="auto"/>
      </w:pPr>
      <w:r>
        <w:rPr>
          <w:rFonts w:ascii="Calibri" w:hAnsi="Calibri"/>
          <w:b w:val="0"/>
          <w:i w:val="0"/>
          <w:color w:val="181F2A"/>
          <w:sz w:val="22"/>
        </w:rPr>
        <w:t>Nicht geeignet: die vorhandene automatische Voxelkonvertierung mit etwa 756 bis 2.194 Cuboids pro Teil.</w:t>
      </w:r>
    </w:p>
    <w:p>
      <w:pPr>
        <w:pStyle w:val="ListBullet"/>
        <w:spacing w:after="160" w:line="280" w:lineRule="auto"/>
      </w:pPr>
      <w:r>
        <w:rPr>
          <w:rFonts w:ascii="Calibri" w:hAnsi="Calibri"/>
          <w:b w:val="0"/>
          <w:i w:val="0"/>
          <w:color w:val="181F2A"/>
          <w:sz w:val="22"/>
        </w:rPr>
        <w:t>Ziel: pro Rüstungsteil eine kontrollierte, reduzierte Blockbench-Geometrie mit klaren Player-Bone-Zuordnungen.</w:t>
      </w:r>
    </w:p>
    <w:p>
      <w:pPr>
        <w:pStyle w:val="ListBullet"/>
        <w:spacing w:after="160" w:line="280" w:lineRule="auto"/>
      </w:pPr>
      <w:r>
        <w:rPr>
          <w:rFonts w:ascii="Calibri" w:hAnsi="Calibri"/>
          <w:b w:val="0"/>
          <w:i w:val="0"/>
          <w:color w:val="181F2A"/>
          <w:sz w:val="22"/>
        </w:rPr>
        <w:t>Helm → head; Brust → body + getrennte Schulterteile; Hose → body + beide Beine; Stiefel → getrennte Beine.</w:t>
      </w:r>
    </w:p>
    <w:p>
      <w:pPr>
        <w:pStyle w:val="ListBullet"/>
        <w:spacing w:after="160" w:line="280" w:lineRule="auto"/>
      </w:pPr>
      <w:r>
        <w:rPr>
          <w:rFonts w:ascii="Calibri" w:hAnsi="Calibri"/>
          <w:b w:val="0"/>
          <w:i w:val="0"/>
          <w:color w:val="181F2A"/>
          <w:sz w:val="22"/>
        </w:rPr>
        <w:t>Jede Familie behält Silhouette, Materialpalette, Edelsteine und asymmetrische Designdetails ihrer Tripo-Quelle.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571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ion-contact-she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C6674"/>
          <w:sz w:val="18"/>
        </w:rPr>
        <w:t>Abbildung 4: Bestehende automatische Würfelkonvertierung – nützlich als Formreferenz, aber zu komplex für die Produktion.</w:t>
      </w:r>
    </w:p>
    <w:p>
      <w:pPr>
        <w:pStyle w:val="Heading1"/>
      </w:pPr>
      <w:r>
        <w:t>12. Qualitätsziel für alle Rüstungsfamilien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Prüfung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Abnahmekriterium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1F2A"/>
                <w:sz w:val="18"/>
              </w:rPr>
              <w:t>Formtreue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1F2A"/>
                <w:sz w:val="18"/>
              </w:rPr>
              <w:t>Front, Rücken, Seite und Perspektive entsprechen der Tripo-Quelle deutlich.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1F2A"/>
                <w:sz w:val="18"/>
              </w:rPr>
              <w:t>Spielerpassform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1F2A"/>
                <w:sz w:val="18"/>
              </w:rPr>
              <w:t>Keine schwebenden Teile; saubere Lage auf Kopf, Torso, Armen und Beinen.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1F2A"/>
                <w:sz w:val="18"/>
              </w:rPr>
              <w:t>Animation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1F2A"/>
                <w:sz w:val="18"/>
              </w:rPr>
              <w:t>Schulter-, Bein- und Stiefelteile folgen den richtigen Humanoid-Bones ohne Schnitte.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1F2A"/>
                <w:sz w:val="18"/>
              </w:rPr>
              <w:t>Textur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1F2A"/>
                <w:sz w:val="18"/>
              </w:rPr>
              <w:t>Mehrere Materialschattierungen, klare Kanten, Nähte, Edelsteinkerne und keine flächige Einfarbigkeit.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1F2A"/>
                <w:sz w:val="18"/>
              </w:rPr>
              <w:t>Performance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1F2A"/>
                <w:sz w:val="18"/>
              </w:rPr>
              <w:t>Kontrollierte Cuboid-Zahl statt tausender Einzelwürfel; keine unnötigen Faces oder UV-Inseln.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1F2A"/>
                <w:sz w:val="18"/>
              </w:rPr>
              <w:t>Client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81F2A"/>
                <w:sz w:val="18"/>
              </w:rPr>
              <w:t>Inventar, Hand, getragen vorne/hinten und Bewegung im echten Forge-Client geprüft.</w:t>
            </w:r>
          </w:p>
        </w:tc>
      </w:tr>
    </w:tbl>
    <w:p>
      <w:pPr>
        <w:pStyle w:val="Heading1"/>
      </w:pPr>
      <w:r>
        <w:t>13. Vollständiger Arbeitsplan</w:t>
      </w:r>
    </w:p>
    <w:p>
      <w:pPr>
        <w:pStyle w:val="ListNumber"/>
        <w:spacing w:after="160"/>
      </w:pPr>
      <w:r>
        <w:rPr>
          <w:rFonts w:ascii="Calibri" w:hAnsi="Calibri"/>
          <w:b w:val="0"/>
          <w:i w:val="0"/>
          <w:color w:val="181F2A"/>
          <w:sz w:val="22"/>
        </w:rPr>
        <w:t>Alle 16 Tripo-Quellen unveränderlich archivieren und Hash, Polygone, Bounds, UVs und Lizenz dokumentieren.</w:t>
      </w:r>
    </w:p>
    <w:p>
      <w:pPr>
        <w:pStyle w:val="ListNumber"/>
        <w:spacing w:after="160"/>
      </w:pPr>
      <w:r>
        <w:rPr>
          <w:rFonts w:ascii="Calibri" w:hAnsi="Calibri"/>
          <w:b w:val="0"/>
          <w:i w:val="0"/>
          <w:color w:val="181F2A"/>
          <w:sz w:val="22"/>
        </w:rPr>
        <w:t>True-Void-Helm-Original vollständig sichern und zusammen mit den 15 GLBs auditieren.</w:t>
      </w:r>
    </w:p>
    <w:p>
      <w:pPr>
        <w:pStyle w:val="ListNumber"/>
        <w:spacing w:after="160"/>
      </w:pPr>
      <w:r>
        <w:rPr>
          <w:rFonts w:ascii="Calibri" w:hAnsi="Calibri"/>
          <w:b w:val="0"/>
          <w:i w:val="0"/>
          <w:color w:val="181F2A"/>
          <w:sz w:val="22"/>
        </w:rPr>
        <w:t>Je Familie zuerst Helm und Brustplatte als Qualitätsreferenz sauber in Blockbench nachbauen.</w:t>
      </w:r>
    </w:p>
    <w:p>
      <w:pPr>
        <w:pStyle w:val="ListNumber"/>
        <w:spacing w:after="160"/>
      </w:pPr>
      <w:r>
        <w:rPr>
          <w:rFonts w:ascii="Calibri" w:hAnsi="Calibri"/>
          <w:b w:val="0"/>
          <w:i w:val="0"/>
          <w:color w:val="181F2A"/>
          <w:sz w:val="22"/>
        </w:rPr>
        <w:t>Nach visueller Abnahme Hosen und Stiefel mit denselben Proportionen, Paletten und UV-Regeln erstellen.</w:t>
      </w:r>
    </w:p>
    <w:p>
      <w:pPr>
        <w:pStyle w:val="ListNumber"/>
        <w:spacing w:after="160"/>
      </w:pPr>
      <w:r>
        <w:rPr>
          <w:rFonts w:ascii="Calibri" w:hAnsi="Calibri"/>
          <w:b w:val="0"/>
          <w:i w:val="0"/>
          <w:color w:val="181F2A"/>
          <w:sz w:val="22"/>
        </w:rPr>
        <w:t>Kronen-Generator abschliessen und alle acht Formen im Curio-Slot integrieren.</w:t>
      </w:r>
    </w:p>
    <w:p>
      <w:pPr>
        <w:pStyle w:val="ListNumber"/>
        <w:spacing w:after="160"/>
      </w:pPr>
      <w:r>
        <w:rPr>
          <w:rFonts w:ascii="Calibri" w:hAnsi="Calibri"/>
          <w:b w:val="0"/>
          <w:i w:val="0"/>
          <w:color w:val="181F2A"/>
          <w:sz w:val="22"/>
        </w:rPr>
        <w:t>Silverfish-Bewegung, Sounds und Hitbox im echten Client final abnehmen.</w:t>
      </w:r>
    </w:p>
    <w:p>
      <w:pPr>
        <w:pStyle w:val="ListNumber"/>
        <w:spacing w:after="160"/>
      </w:pPr>
      <w:r>
        <w:rPr>
          <w:rFonts w:ascii="Calibri" w:hAnsi="Calibri"/>
          <w:b w:val="0"/>
          <w:i w:val="0"/>
          <w:color w:val="181F2A"/>
          <w:sz w:val="22"/>
        </w:rPr>
        <w:t>Alle Item-, Hand-, Front-, Rücken- und Bewegungsaufnahmen in einer einzigen Review-Seite zusammenführen.</w:t>
      </w:r>
    </w:p>
    <w:p>
      <w:pPr>
        <w:pStyle w:val="ListNumber"/>
        <w:spacing w:after="160"/>
      </w:pPr>
      <w:r>
        <w:rPr>
          <w:rFonts w:ascii="Calibri" w:hAnsi="Calibri"/>
          <w:b w:val="0"/>
          <w:i w:val="0"/>
          <w:color w:val="181F2A"/>
          <w:sz w:val="22"/>
        </w:rPr>
        <w:t>Gradle-Build und vollständige Test-Suite ausführen; erst danach Produktionsassets und Releasebranch freigeben.</w:t>
      </w:r>
    </w:p>
    <w:p>
      <w:pPr>
        <w:pStyle w:val="Heading1"/>
      </w:pPr>
      <w:r>
        <w:t>14. Repository- und Push-Status</w:t>
      </w:r>
    </w:p>
    <w:p>
      <w:pPr>
        <w:spacing w:after="160"/>
      </w:pPr>
      <w:r>
        <w:t>Der Word-Bericht ist im Commit be2710d enthalten. Das Ziel-Repository ist als Remote official eingerichtet. Ein Push des Feature-Branches wurde versucht, aber GitHub verweigerte dem aktuell angemeldeten Konto Momik-jpg den Schreibzugriff auf AleksZyro/UMR-Useless-mobs-reworked-Mod. Der lokale Stand ist nicht verloren; für den Push muss Momik-jpg als Mitarbeiter freigeschaltet oder der PC als AleksZyro authentifiziert werden.</w:t>
      </w:r>
    </w:p>
    <w:p>
      <w:pPr>
        <w:pStyle w:val="Heading1"/>
      </w:pPr>
      <w:r>
        <w:t>15. Freigabeentscheidung</w:t>
      </w:r>
    </w:p>
    <w:p>
      <w:pPr>
        <w:ind w:left="259" w:right="259"/>
      </w:pPr>
      <w:r>
        <w:rPr>
          <w:rFonts w:ascii="Calibri" w:hAnsi="Calibri"/>
          <w:b/>
          <w:i w:val="0"/>
          <w:color w:val="1F4D78"/>
          <w:sz w:val="22"/>
        </w:rPr>
        <w:t>Empfehlung: Tripo nicht nochmals für alle Teile bezahlen. Die hochwertigen Quellen existieren bereits. Die nächste Arbeit muss die saubere Blockbench-/Player-Rig-Übertragung verbessern – genau dort entstand der sichtbare Qualitätsverlust.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674"/>
        <w:sz w:val="18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C6674"/>
        <w:sz w:val="18"/>
      </w:rPr>
      <w:t>UMR · Technische Projektübergabe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81F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