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0971581"/>
      <w:r>
        <w:lastRenderedPageBreak/>
        <w:t>Садржај</w:t>
      </w:r>
      <w:bookmarkEnd w:id="0"/>
    </w:p>
    <w:sdt>
      <w:sdtPr>
        <w:rPr>
          <w:rFonts w:ascii="Areal RNIDS" w:eastAsiaTheme="minorHAnsi" w:hAnsi="Areal RNIDS" w:cstheme="minorBidi"/>
          <w:color w:val="auto"/>
          <w:sz w:val="24"/>
          <w:szCs w:val="22"/>
        </w:rPr>
        <w:id w:val="-1072880836"/>
        <w:docPartObj>
          <w:docPartGallery w:val="Table of Contents"/>
          <w:docPartUnique/>
        </w:docPartObj>
      </w:sdtPr>
      <w:sdtEndPr>
        <w:rPr>
          <w:b/>
          <w:bCs/>
          <w:noProof/>
        </w:rPr>
      </w:sdtEndPr>
      <w:sdtContent>
        <w:p w:rsidR="00515FCE" w:rsidRPr="00515FCE" w:rsidRDefault="00515FCE">
          <w:pPr>
            <w:pStyle w:val="TOCHeading"/>
          </w:pPr>
        </w:p>
        <w:p w:rsidR="006550F6" w:rsidRDefault="007A1CA4">
          <w:pPr>
            <w:pStyle w:val="TOC1"/>
            <w:tabs>
              <w:tab w:val="right" w:leader="dot" w:pos="9629"/>
            </w:tabs>
            <w:rPr>
              <w:rFonts w:asciiTheme="minorHAnsi" w:eastAsiaTheme="minorEastAsia" w:hAnsiTheme="minorHAnsi"/>
              <w:noProof/>
              <w:sz w:val="22"/>
            </w:rPr>
          </w:pPr>
          <w:r>
            <w:rPr>
              <w:b/>
              <w:bCs/>
              <w:noProof/>
            </w:rPr>
            <w:fldChar w:fldCharType="begin"/>
          </w:r>
          <w:r w:rsidR="00515FCE">
            <w:rPr>
              <w:b/>
              <w:bCs/>
              <w:noProof/>
            </w:rPr>
            <w:instrText xml:space="preserve"> TOC \o "1-3" \h \z \u </w:instrText>
          </w:r>
          <w:r>
            <w:rPr>
              <w:b/>
              <w:bCs/>
              <w:noProof/>
            </w:rPr>
            <w:fldChar w:fldCharType="separate"/>
          </w:r>
          <w:hyperlink w:anchor="_Toc120971581" w:history="1">
            <w:r w:rsidR="006550F6" w:rsidRPr="00E453DE">
              <w:rPr>
                <w:rStyle w:val="Hyperlink"/>
                <w:noProof/>
              </w:rPr>
              <w:t>Садржај</w:t>
            </w:r>
            <w:r w:rsidR="006550F6">
              <w:rPr>
                <w:noProof/>
                <w:webHidden/>
              </w:rPr>
              <w:tab/>
            </w:r>
            <w:r>
              <w:rPr>
                <w:noProof/>
                <w:webHidden/>
              </w:rPr>
              <w:fldChar w:fldCharType="begin"/>
            </w:r>
            <w:r w:rsidR="006550F6">
              <w:rPr>
                <w:noProof/>
                <w:webHidden/>
              </w:rPr>
              <w:instrText xml:space="preserve"> PAGEREF _Toc120971581 \h </w:instrText>
            </w:r>
            <w:r>
              <w:rPr>
                <w:noProof/>
                <w:webHidden/>
              </w:rPr>
            </w:r>
            <w:r>
              <w:rPr>
                <w:noProof/>
                <w:webHidden/>
              </w:rPr>
              <w:fldChar w:fldCharType="separate"/>
            </w:r>
            <w:r w:rsidR="006550F6">
              <w:rPr>
                <w:noProof/>
                <w:webHidden/>
              </w:rPr>
              <w:t>2</w:t>
            </w:r>
            <w:r>
              <w:rPr>
                <w:noProof/>
                <w:webHidden/>
              </w:rPr>
              <w:fldChar w:fldCharType="end"/>
            </w:r>
          </w:hyperlink>
        </w:p>
        <w:p w:rsidR="006550F6" w:rsidRDefault="00027E9C">
          <w:pPr>
            <w:pStyle w:val="TOC2"/>
            <w:tabs>
              <w:tab w:val="right" w:leader="dot" w:pos="9629"/>
            </w:tabs>
            <w:rPr>
              <w:rFonts w:asciiTheme="minorHAnsi" w:eastAsiaTheme="minorEastAsia" w:hAnsiTheme="minorHAnsi"/>
              <w:noProof/>
              <w:sz w:val="22"/>
            </w:rPr>
          </w:pPr>
          <w:hyperlink w:anchor="_Toc120971582" w:history="1">
            <w:r w:rsidR="006550F6" w:rsidRPr="00E453DE">
              <w:rPr>
                <w:rStyle w:val="Hyperlink"/>
                <w:noProof/>
                <w:lang w:val="en-CA"/>
              </w:rPr>
              <w:t xml:space="preserve">1 </w:t>
            </w:r>
            <w:r w:rsidR="006550F6" w:rsidRPr="00E453DE">
              <w:rPr>
                <w:rStyle w:val="Hyperlink"/>
                <w:noProof/>
              </w:rPr>
              <w:t>Увод</w:t>
            </w:r>
            <w:r w:rsidR="006550F6">
              <w:rPr>
                <w:noProof/>
                <w:webHidden/>
              </w:rPr>
              <w:tab/>
            </w:r>
            <w:r w:rsidR="007A1CA4">
              <w:rPr>
                <w:noProof/>
                <w:webHidden/>
              </w:rPr>
              <w:fldChar w:fldCharType="begin"/>
            </w:r>
            <w:r w:rsidR="006550F6">
              <w:rPr>
                <w:noProof/>
                <w:webHidden/>
              </w:rPr>
              <w:instrText xml:space="preserve"> PAGEREF _Toc120971582 \h </w:instrText>
            </w:r>
            <w:r w:rsidR="007A1CA4">
              <w:rPr>
                <w:noProof/>
                <w:webHidden/>
              </w:rPr>
            </w:r>
            <w:r w:rsidR="007A1CA4">
              <w:rPr>
                <w:noProof/>
                <w:webHidden/>
              </w:rPr>
              <w:fldChar w:fldCharType="separate"/>
            </w:r>
            <w:r w:rsidR="006550F6">
              <w:rPr>
                <w:noProof/>
                <w:webHidden/>
              </w:rPr>
              <w:t>3</w:t>
            </w:r>
            <w:r w:rsidR="007A1CA4">
              <w:rPr>
                <w:noProof/>
                <w:webHidden/>
              </w:rPr>
              <w:fldChar w:fldCharType="end"/>
            </w:r>
          </w:hyperlink>
        </w:p>
        <w:p w:rsidR="006550F6" w:rsidRDefault="00027E9C">
          <w:pPr>
            <w:pStyle w:val="TOC3"/>
            <w:tabs>
              <w:tab w:val="right" w:leader="dot" w:pos="9629"/>
            </w:tabs>
            <w:rPr>
              <w:rFonts w:asciiTheme="minorHAnsi" w:eastAsiaTheme="minorEastAsia" w:hAnsiTheme="minorHAnsi"/>
              <w:noProof/>
              <w:sz w:val="22"/>
            </w:rPr>
          </w:pPr>
          <w:hyperlink w:anchor="_Toc120971583" w:history="1">
            <w:r w:rsidR="006550F6" w:rsidRPr="00E453DE">
              <w:rPr>
                <w:rStyle w:val="Hyperlink"/>
                <w:noProof/>
              </w:rPr>
              <w:t>1.1 Циљ развоја</w:t>
            </w:r>
            <w:r w:rsidR="006550F6">
              <w:rPr>
                <w:noProof/>
                <w:webHidden/>
              </w:rPr>
              <w:tab/>
            </w:r>
            <w:r w:rsidR="007A1CA4">
              <w:rPr>
                <w:noProof/>
                <w:webHidden/>
              </w:rPr>
              <w:fldChar w:fldCharType="begin"/>
            </w:r>
            <w:r w:rsidR="006550F6">
              <w:rPr>
                <w:noProof/>
                <w:webHidden/>
              </w:rPr>
              <w:instrText xml:space="preserve"> PAGEREF _Toc120971583 \h </w:instrText>
            </w:r>
            <w:r w:rsidR="007A1CA4">
              <w:rPr>
                <w:noProof/>
                <w:webHidden/>
              </w:rPr>
            </w:r>
            <w:r w:rsidR="007A1CA4">
              <w:rPr>
                <w:noProof/>
                <w:webHidden/>
              </w:rPr>
              <w:fldChar w:fldCharType="separate"/>
            </w:r>
            <w:r w:rsidR="006550F6">
              <w:rPr>
                <w:noProof/>
                <w:webHidden/>
              </w:rPr>
              <w:t>3</w:t>
            </w:r>
            <w:r w:rsidR="007A1CA4">
              <w:rPr>
                <w:noProof/>
                <w:webHidden/>
              </w:rPr>
              <w:fldChar w:fldCharType="end"/>
            </w:r>
          </w:hyperlink>
        </w:p>
        <w:p w:rsidR="006550F6" w:rsidRDefault="00027E9C">
          <w:pPr>
            <w:pStyle w:val="TOC3"/>
            <w:tabs>
              <w:tab w:val="right" w:leader="dot" w:pos="9629"/>
            </w:tabs>
            <w:rPr>
              <w:rFonts w:asciiTheme="minorHAnsi" w:eastAsiaTheme="minorEastAsia" w:hAnsiTheme="minorHAnsi"/>
              <w:noProof/>
              <w:sz w:val="22"/>
            </w:rPr>
          </w:pPr>
          <w:hyperlink w:anchor="_Toc120971584" w:history="1">
            <w:r w:rsidR="006550F6" w:rsidRPr="00E453DE">
              <w:rPr>
                <w:rStyle w:val="Hyperlink"/>
                <w:noProof/>
              </w:rPr>
              <w:t>1.2 Обим система</w:t>
            </w:r>
            <w:r w:rsidR="006550F6">
              <w:rPr>
                <w:noProof/>
                <w:webHidden/>
              </w:rPr>
              <w:tab/>
            </w:r>
            <w:r w:rsidR="007A1CA4">
              <w:rPr>
                <w:noProof/>
                <w:webHidden/>
              </w:rPr>
              <w:fldChar w:fldCharType="begin"/>
            </w:r>
            <w:r w:rsidR="006550F6">
              <w:rPr>
                <w:noProof/>
                <w:webHidden/>
              </w:rPr>
              <w:instrText xml:space="preserve"> PAGEREF _Toc120971584 \h </w:instrText>
            </w:r>
            <w:r w:rsidR="007A1CA4">
              <w:rPr>
                <w:noProof/>
                <w:webHidden/>
              </w:rPr>
            </w:r>
            <w:r w:rsidR="007A1CA4">
              <w:rPr>
                <w:noProof/>
                <w:webHidden/>
              </w:rPr>
              <w:fldChar w:fldCharType="separate"/>
            </w:r>
            <w:r w:rsidR="006550F6">
              <w:rPr>
                <w:noProof/>
                <w:webHidden/>
              </w:rPr>
              <w:t>3</w:t>
            </w:r>
            <w:r w:rsidR="007A1CA4">
              <w:rPr>
                <w:noProof/>
                <w:webHidden/>
              </w:rPr>
              <w:fldChar w:fldCharType="end"/>
            </w:r>
          </w:hyperlink>
        </w:p>
        <w:p w:rsidR="006550F6" w:rsidRDefault="00027E9C">
          <w:pPr>
            <w:pStyle w:val="TOC3"/>
            <w:tabs>
              <w:tab w:val="right" w:leader="dot" w:pos="9629"/>
            </w:tabs>
            <w:rPr>
              <w:rFonts w:asciiTheme="minorHAnsi" w:eastAsiaTheme="minorEastAsia" w:hAnsiTheme="minorHAnsi"/>
              <w:noProof/>
              <w:sz w:val="22"/>
            </w:rPr>
          </w:pPr>
          <w:hyperlink w:anchor="_Toc120971585" w:history="1">
            <w:r w:rsidR="006550F6" w:rsidRPr="00E453DE">
              <w:rPr>
                <w:rStyle w:val="Hyperlink"/>
                <w:noProof/>
              </w:rPr>
              <w:t>1.3 Ограничења</w:t>
            </w:r>
            <w:r w:rsidR="006550F6">
              <w:rPr>
                <w:noProof/>
                <w:webHidden/>
              </w:rPr>
              <w:tab/>
            </w:r>
            <w:r w:rsidR="007A1CA4">
              <w:rPr>
                <w:noProof/>
                <w:webHidden/>
              </w:rPr>
              <w:fldChar w:fldCharType="begin"/>
            </w:r>
            <w:r w:rsidR="006550F6">
              <w:rPr>
                <w:noProof/>
                <w:webHidden/>
              </w:rPr>
              <w:instrText xml:space="preserve"> PAGEREF _Toc120971585 \h </w:instrText>
            </w:r>
            <w:r w:rsidR="007A1CA4">
              <w:rPr>
                <w:noProof/>
                <w:webHidden/>
              </w:rPr>
            </w:r>
            <w:r w:rsidR="007A1CA4">
              <w:rPr>
                <w:noProof/>
                <w:webHidden/>
              </w:rPr>
              <w:fldChar w:fldCharType="separate"/>
            </w:r>
            <w:r w:rsidR="006550F6">
              <w:rPr>
                <w:noProof/>
                <w:webHidden/>
              </w:rPr>
              <w:t>5</w:t>
            </w:r>
            <w:r w:rsidR="007A1CA4">
              <w:rPr>
                <w:noProof/>
                <w:webHidden/>
              </w:rPr>
              <w:fldChar w:fldCharType="end"/>
            </w:r>
          </w:hyperlink>
        </w:p>
        <w:p w:rsidR="006550F6" w:rsidRDefault="00027E9C">
          <w:pPr>
            <w:pStyle w:val="TOC2"/>
            <w:tabs>
              <w:tab w:val="right" w:leader="dot" w:pos="9629"/>
            </w:tabs>
            <w:rPr>
              <w:rFonts w:asciiTheme="minorHAnsi" w:eastAsiaTheme="minorEastAsia" w:hAnsiTheme="minorHAnsi"/>
              <w:noProof/>
              <w:sz w:val="22"/>
            </w:rPr>
          </w:pPr>
          <w:hyperlink w:anchor="_Toc120971586" w:history="1">
            <w:r w:rsidR="006550F6" w:rsidRPr="00E453DE">
              <w:rPr>
                <w:rStyle w:val="Hyperlink"/>
                <w:noProof/>
              </w:rPr>
              <w:t>2. Референце</w:t>
            </w:r>
            <w:r w:rsidR="006550F6">
              <w:rPr>
                <w:noProof/>
                <w:webHidden/>
              </w:rPr>
              <w:tab/>
            </w:r>
            <w:r w:rsidR="007A1CA4">
              <w:rPr>
                <w:noProof/>
                <w:webHidden/>
              </w:rPr>
              <w:fldChar w:fldCharType="begin"/>
            </w:r>
            <w:r w:rsidR="006550F6">
              <w:rPr>
                <w:noProof/>
                <w:webHidden/>
              </w:rPr>
              <w:instrText xml:space="preserve"> PAGEREF _Toc120971586 \h </w:instrText>
            </w:r>
            <w:r w:rsidR="007A1CA4">
              <w:rPr>
                <w:noProof/>
                <w:webHidden/>
              </w:rPr>
            </w:r>
            <w:r w:rsidR="007A1CA4">
              <w:rPr>
                <w:noProof/>
                <w:webHidden/>
              </w:rPr>
              <w:fldChar w:fldCharType="separate"/>
            </w:r>
            <w:r w:rsidR="006550F6">
              <w:rPr>
                <w:noProof/>
                <w:webHidden/>
              </w:rPr>
              <w:t>6</w:t>
            </w:r>
            <w:r w:rsidR="007A1CA4">
              <w:rPr>
                <w:noProof/>
                <w:webHidden/>
              </w:rPr>
              <w:fldChar w:fldCharType="end"/>
            </w:r>
          </w:hyperlink>
        </w:p>
        <w:p w:rsidR="006550F6" w:rsidRDefault="00027E9C">
          <w:pPr>
            <w:pStyle w:val="TOC3"/>
            <w:tabs>
              <w:tab w:val="right" w:leader="dot" w:pos="9629"/>
            </w:tabs>
            <w:rPr>
              <w:rFonts w:asciiTheme="minorHAnsi" w:eastAsiaTheme="minorEastAsia" w:hAnsiTheme="minorHAnsi"/>
              <w:noProof/>
              <w:sz w:val="22"/>
            </w:rPr>
          </w:pPr>
          <w:hyperlink w:anchor="_Toc120971587" w:history="1">
            <w:r w:rsidR="006550F6" w:rsidRPr="00E453DE">
              <w:rPr>
                <w:rStyle w:val="Hyperlink"/>
                <w:noProof/>
              </w:rPr>
              <w:t>2.1 Технолошки процеси и правила заштите</w:t>
            </w:r>
            <w:r w:rsidR="006550F6">
              <w:rPr>
                <w:noProof/>
                <w:webHidden/>
              </w:rPr>
              <w:tab/>
            </w:r>
            <w:r w:rsidR="007A1CA4">
              <w:rPr>
                <w:noProof/>
                <w:webHidden/>
              </w:rPr>
              <w:fldChar w:fldCharType="begin"/>
            </w:r>
            <w:r w:rsidR="006550F6">
              <w:rPr>
                <w:noProof/>
                <w:webHidden/>
              </w:rPr>
              <w:instrText xml:space="preserve"> PAGEREF _Toc120971587 \h </w:instrText>
            </w:r>
            <w:r w:rsidR="007A1CA4">
              <w:rPr>
                <w:noProof/>
                <w:webHidden/>
              </w:rPr>
            </w:r>
            <w:r w:rsidR="007A1CA4">
              <w:rPr>
                <w:noProof/>
                <w:webHidden/>
              </w:rPr>
              <w:fldChar w:fldCharType="separate"/>
            </w:r>
            <w:r w:rsidR="006550F6">
              <w:rPr>
                <w:noProof/>
                <w:webHidden/>
              </w:rPr>
              <w:t>7</w:t>
            </w:r>
            <w:r w:rsidR="007A1CA4">
              <w:rPr>
                <w:noProof/>
                <w:webHidden/>
              </w:rPr>
              <w:fldChar w:fldCharType="end"/>
            </w:r>
          </w:hyperlink>
        </w:p>
        <w:p w:rsidR="00515FCE" w:rsidRDefault="007A1CA4">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1" w:name="_Toc120971582"/>
      <w:r>
        <w:rPr>
          <w:lang w:val="en-CA"/>
        </w:rPr>
        <w:lastRenderedPageBreak/>
        <w:t xml:space="preserve">1 </w:t>
      </w:r>
      <w:r>
        <w:t>Увод</w:t>
      </w:r>
      <w:bookmarkEnd w:id="1"/>
    </w:p>
    <w:p w:rsidR="00735B79" w:rsidRDefault="007C488F" w:rsidP="007C488F">
      <w:r>
        <w:t>Са порастом броја штампарница широм земље</w:t>
      </w:r>
      <w:r w:rsidRPr="00535A91">
        <w:t xml:space="preserve"> </w:t>
      </w:r>
      <w:r>
        <w:t xml:space="preserve">због пораста индивидуалних креатора </w:t>
      </w:r>
      <w:r w:rsidRPr="00535A91">
        <w:t>ја</w:t>
      </w:r>
      <w:r>
        <w:t>вља се потреба да се на што бољи начин направи организовани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2" w:name="_Toc120971583"/>
      <w:r>
        <w:t>1.1 Циљ развоја</w:t>
      </w:r>
      <w:bookmarkEnd w:id="2"/>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3" w:name="_Toc120971584"/>
      <w:r>
        <w:t>1.2 Обим система</w:t>
      </w:r>
      <w:bookmarkEnd w:id="3"/>
    </w:p>
    <w:p w:rsidR="003B5785" w:rsidRDefault="003B5785" w:rsidP="003B5785">
      <w:r>
        <w:t xml:space="preserve">Обим нашег система се своди на штампање гардеробе, у највећој мери по наруџбини. У том погледу, постоје 3 </w:t>
      </w:r>
      <w:r w:rsidR="00DB04A4">
        <w:t>процеса</w:t>
      </w:r>
      <w:r>
        <w:t xml:space="preserve">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 xml:space="preserve">1.2.1 Први </w:t>
      </w:r>
      <w:r w:rsidR="00DB04A4">
        <w:rPr>
          <w:rFonts w:ascii="Areal RNIDS" w:hAnsi="Areal RNIDS"/>
        </w:rPr>
        <w:t>процес</w:t>
      </w:r>
    </w:p>
    <w:p w:rsidR="003B5785" w:rsidRDefault="003B5785" w:rsidP="003B5785">
      <w:r>
        <w:t xml:space="preserve">Први је свакако припрема за штампу. Наша штампарија у свом склопу садржи и студио опремљен за графички дизајн и припрему за штампу. Овде се стварају графичка решења по жељи и потреби клијената. Клијентима предлажемо идејно решење и материјал на ком ће се штампати. У програму дизајнирамо завршну обраду за потребни производ како би се имао увид у коначни изглед пре финалне штампе.. У овом </w:t>
      </w:r>
      <w:r w:rsidR="00DB04A4">
        <w:t>процесу</w:t>
      </w:r>
      <w:r>
        <w:t xml:space="preserve"> се врши и контрола техничке исправности фајлова. </w:t>
      </w:r>
    </w:p>
    <w:p w:rsidR="003B5785" w:rsidRDefault="003B5785" w:rsidP="003B5785">
      <w:pPr>
        <w:pStyle w:val="Heading5"/>
        <w:ind w:firstLine="0"/>
        <w:rPr>
          <w:rFonts w:ascii="Areal RNIDS" w:hAnsi="Areal RNIDS"/>
        </w:rPr>
      </w:pPr>
      <w:r>
        <w:rPr>
          <w:rFonts w:ascii="Areal RNIDS" w:hAnsi="Areal RNIDS"/>
        </w:rPr>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3B5785" w:rsidRDefault="003B5785" w:rsidP="00DF109E">
      <w:r>
        <w:lastRenderedPageBreak/>
        <w:t xml:space="preserve">Други </w:t>
      </w:r>
      <w:r w:rsidR="00DB04A4">
        <w:t>процес</w:t>
      </w:r>
      <w:r>
        <w:t xml:space="preserve"> рада се састоји од самог штампања. Погон штампе опремљен је савременим DTG штампач-има, када је у питању штампање гардеробе, који наноси боју директно на материјал, након чега боја мора да се стабилизује под високом температуром. Ови штампачи користе  SAI Photoprint 12 RIP softwer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w:t>
      </w:r>
      <w:r w:rsidR="00DB04A4">
        <w:rPr>
          <w:rFonts w:ascii="Areal RNIDS" w:hAnsi="Areal RNIDS"/>
        </w:rPr>
        <w:t>процес</w:t>
      </w:r>
    </w:p>
    <w:p w:rsidR="006550F6" w:rsidRPr="006550F6" w:rsidRDefault="006550F6" w:rsidP="006550F6"/>
    <w:p w:rsidR="00A86098" w:rsidRDefault="003B5785" w:rsidP="00A86098">
      <w:r>
        <w:t xml:space="preserve">Трећи </w:t>
      </w:r>
      <w:r w:rsidR="00DB04A4">
        <w:t>процес</w:t>
      </w:r>
      <w:r>
        <w:t xml:space="preserve"> се своди на графичку дораду производа. Овде мајице, дуксеви,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папира, савијање, бушење, пластификацију (мат, сјајном, велвет, anti-scratch и линен фолијом), парцијално УВ лакирање, фолиотисак (у више боја), блиндрук, суви жиг, штанцовање, лепљење, формирање, фарбање, шивење, везивање, постављање ластиша, перфорација, рицовање, бројање, паковање, вакумирање и све друге неопходне радње.</w:t>
      </w:r>
    </w:p>
    <w:p w:rsidR="00735B79" w:rsidRDefault="00A86098" w:rsidP="00A86098">
      <w:r>
        <w:t>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дистрибутивној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Default="00DF109E" w:rsidP="007C488F">
      <w:pPr>
        <w:pStyle w:val="Heading3"/>
      </w:pPr>
      <w:bookmarkStart w:id="4" w:name="_Toc120971585"/>
      <w:r>
        <w:lastRenderedPageBreak/>
        <w:t>1.3 Ограничења</w:t>
      </w:r>
      <w:bookmarkEnd w:id="4"/>
    </w:p>
    <w:p w:rsidR="00761CD1" w:rsidRPr="00761CD1" w:rsidRDefault="00761CD1" w:rsidP="00761CD1"/>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дуксева, мајица, тренерки, патика, чарапа, качкета...)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w:t>
      </w:r>
      <w:r w:rsidR="00761CD1">
        <w:t>има држава које су чланице ЕУ (Европске У</w:t>
      </w:r>
      <w:r>
        <w:t>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bookmarkStart w:id="5" w:name="_Toc120971586"/>
      <w:r>
        <w:lastRenderedPageBreak/>
        <w:t>2. Референце</w:t>
      </w:r>
      <w:bookmarkEnd w:id="5"/>
    </w:p>
    <w:p w:rsidR="006550F6" w:rsidRPr="006550F6" w:rsidRDefault="006550F6" w:rsidP="006550F6"/>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5D34A9" w:rsidP="00324083">
      <w:r>
        <w:t>Овај процес је</w:t>
      </w:r>
      <w:r w:rsidR="00194E90">
        <w:t xml:space="preserve"> важан због увоза тј. извоза артикала због различитих законских обавеза у државама.</w:t>
      </w:r>
    </w:p>
    <w:p w:rsidR="00324083" w:rsidRPr="00761CD1" w:rsidRDefault="00324083" w:rsidP="00324083">
      <w:r>
        <w:t>Нар</w:t>
      </w:r>
      <w:r w:rsidR="00761CD1">
        <w:t>авно, штампарија ће имати и већ</w:t>
      </w:r>
      <w:r>
        <w:t xml:space="preserve"> уговорене послове на дужи период са неким другим одређеним фирмама тј. </w:t>
      </w:r>
      <w:r w:rsidR="00761CD1">
        <w:t>маркама који кроз сарадњу нама референтно дају на популарности и помажу нам да и оригинални дизајни нашег бренда буду препознати</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 ће читати и колачиће (</w:t>
      </w:r>
      <w:r>
        <w:rPr>
          <w:lang w:val="en-CA"/>
        </w:rPr>
        <w:t>eng</w:t>
      </w:r>
      <w:r w:rsidRPr="00DB04A4">
        <w:t xml:space="preserve">. </w:t>
      </w:r>
      <w:r>
        <w:t>cookies</w:t>
      </w:r>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5D34A9">
        <w:t xml:space="preserve"> у датом тренутку</w:t>
      </w:r>
      <w:r>
        <w:t>.</w:t>
      </w:r>
      <w:r w:rsidR="005D34A9">
        <w:t xml:space="preserve"> Док рекламе могу да смање погодност употребе корисника, све док локација, величина и учесталост нису претеране можемо појачати добит без смањивања броја корисника који придолазе и остају на страници.</w:t>
      </w:r>
      <w:r w:rsidR="00194E90">
        <w:t xml:space="preserve"> </w:t>
      </w:r>
    </w:p>
    <w:p w:rsidR="00EC1C6C" w:rsidRPr="00A86098" w:rsidRDefault="00EC1C6C">
      <w:pPr>
        <w:spacing w:before="0" w:line="259" w:lineRule="auto"/>
        <w:ind w:firstLine="0"/>
        <w:jc w:val="left"/>
      </w:pPr>
      <w:r>
        <w:br w:type="page"/>
      </w:r>
    </w:p>
    <w:p w:rsidR="007A6F57" w:rsidRDefault="00761CD1" w:rsidP="00761CD1">
      <w:pPr>
        <w:pStyle w:val="Heading3"/>
      </w:pPr>
      <w:bookmarkStart w:id="6" w:name="_Toc120971587"/>
      <w:r>
        <w:lastRenderedPageBreak/>
        <w:t>2.1 Технолошки процеси и правила заштите</w:t>
      </w:r>
      <w:bookmarkEnd w:id="6"/>
    </w:p>
    <w:p w:rsidR="00761CD1" w:rsidRDefault="00761CD1" w:rsidP="00761CD1"/>
    <w:p w:rsidR="00761CD1" w:rsidRPr="00DB04A4" w:rsidRDefault="006550F6" w:rsidP="00761CD1">
      <w:r w:rsidRPr="00BA644B">
        <w:rPr>
          <w:rFonts w:ascii="Segoe UI Symbol" w:hAnsi="Segoe UI Symbol" w:cs="Segoe UI Symbol"/>
        </w:rPr>
        <w:t>⚖</w:t>
      </w:r>
      <w:r w:rsidR="00BC7A19" w:rsidRPr="00DB04A4">
        <w:rPr>
          <w:rStyle w:val="hgkelc"/>
        </w:rPr>
        <w:t xml:space="preserve"> </w:t>
      </w:r>
      <w:r w:rsidR="00761CD1">
        <w:t>Закон о заштити од пожара</w:t>
      </w:r>
      <w:r w:rsidR="00BC7A19">
        <w:t xml:space="preserve"> на радном месту</w:t>
      </w:r>
      <w:r w:rsidR="00BC7A19" w:rsidRPr="00DB04A4">
        <w:t>:</w:t>
      </w:r>
    </w:p>
    <w:p w:rsidR="00BC7A19" w:rsidRDefault="00027E9C" w:rsidP="006550F6">
      <w:pPr>
        <w:jc w:val="right"/>
        <w:rPr>
          <w:lang w:val="en-CA"/>
        </w:rPr>
      </w:pPr>
      <w:hyperlink r:id="rId9" w:history="1">
        <w:r w:rsidR="00BC7A19" w:rsidRPr="00BC7A19">
          <w:rPr>
            <w:rStyle w:val="Hyperlink"/>
            <w:lang w:val="en-CA"/>
          </w:rPr>
          <w:t>"Службени гласник РС", бр. 111/2009, 20/2015, 87/2018, 87/2018 (други закони) На основу члана 112. став 1. тачка 2. Устава Републике Србије</w:t>
        </w:r>
      </w:hyperlink>
    </w:p>
    <w:p w:rsidR="00BC7A19" w:rsidRDefault="00BC7A19" w:rsidP="00BA644B">
      <w:pPr>
        <w:ind w:firstLine="0"/>
        <w:rPr>
          <w:lang w:val="en-CA"/>
        </w:rPr>
      </w:pPr>
    </w:p>
    <w:p w:rsidR="00BC7A19" w:rsidRPr="00BC7A19" w:rsidRDefault="006550F6" w:rsidP="00BC7A19">
      <w:r w:rsidRPr="00BA644B">
        <w:rPr>
          <w:rFonts w:ascii="Segoe UI Symbol" w:hAnsi="Segoe UI Symbol" w:cs="Segoe UI Symbol"/>
        </w:rPr>
        <w:t>⚖</w:t>
      </w:r>
      <w:r w:rsidR="00BA644B">
        <w:rPr>
          <w:rFonts w:ascii="Segoe UI Symbol" w:hAnsi="Segoe UI Symbol" w:cs="Segoe UI Symbol"/>
          <w:lang w:val="en-CA"/>
        </w:rPr>
        <w:t xml:space="preserve"> </w:t>
      </w:r>
      <w:r w:rsidR="00BC7A19">
        <w:t>Закон о заштити од опасних хемикалија на радном месту:</w:t>
      </w:r>
    </w:p>
    <w:p w:rsidR="00BC7A19" w:rsidRPr="00DB04A4" w:rsidRDefault="00027E9C" w:rsidP="00BC7A19">
      <w:hyperlink r:id="rId10" w:history="1">
        <w:r w:rsidR="00BC7A19" w:rsidRPr="00DB04A4">
          <w:rPr>
            <w:rStyle w:val="Hyperlink"/>
          </w:rPr>
          <w:t>("</w:t>
        </w:r>
        <w:r w:rsidR="00BC7A19" w:rsidRPr="00BA644B">
          <w:rPr>
            <w:rStyle w:val="Hyperlink"/>
          </w:rPr>
          <w:t>Службени гласник РС</w:t>
        </w:r>
        <w:r w:rsidR="00BC7A19" w:rsidRPr="00DB04A4">
          <w:rPr>
            <w:rStyle w:val="Hyperlink"/>
          </w:rPr>
          <w:t>", бр. 36/2009, 88/2010, 92/2011, 93/2012 и 25/2015)</w:t>
        </w:r>
      </w:hyperlink>
    </w:p>
    <w:p w:rsidR="00BC7A19" w:rsidRPr="00DB04A4" w:rsidRDefault="00BC7A19" w:rsidP="00BC7A19"/>
    <w:p w:rsidR="00BC7A19" w:rsidRPr="00BC7A19" w:rsidRDefault="00BA644B" w:rsidP="00BC7A19">
      <w:r w:rsidRPr="00BA644B">
        <w:rPr>
          <w:rFonts w:ascii="Segoe UI Symbol" w:hAnsi="Segoe UI Symbol" w:cs="Segoe UI Symbol"/>
        </w:rPr>
        <w:t>⚖</w:t>
      </w:r>
      <w:r w:rsidRPr="00DB04A4">
        <w:rPr>
          <w:rFonts w:ascii="Segoe UI Symbol" w:hAnsi="Segoe UI Symbol" w:cs="Segoe UI Symbol"/>
        </w:rPr>
        <w:t xml:space="preserve"> </w:t>
      </w:r>
      <w:r w:rsidR="00BC7A19">
        <w:t>Закон о заштити од алергена у дистрибуцији:</w:t>
      </w:r>
    </w:p>
    <w:p w:rsidR="00BC7A19" w:rsidRPr="00DB04A4" w:rsidRDefault="00027E9C" w:rsidP="006550F6">
      <w:pPr>
        <w:jc w:val="right"/>
      </w:pPr>
      <w:hyperlink r:id="rId11" w:history="1">
        <w:r w:rsidR="00BC7A19" w:rsidRPr="00DB04A4">
          <w:rPr>
            <w:rStyle w:val="Hyperlink"/>
          </w:rPr>
          <w:t>("</w:t>
        </w:r>
        <w:r w:rsidR="00BC7A19" w:rsidRPr="00BC7A19">
          <w:rPr>
            <w:rStyle w:val="Hyperlink"/>
          </w:rPr>
          <w:t>Службени гласник РС</w:t>
        </w:r>
        <w:r w:rsidR="00BC7A19" w:rsidRPr="00DB04A4">
          <w:rPr>
            <w:rStyle w:val="Hyperlink"/>
          </w:rPr>
          <w:t>", бр. 19/2017, 16/2018, 17/2020, 118/2020, 17/2022, 23/2022 и 30/2022)</w:t>
        </w:r>
      </w:hyperlink>
    </w:p>
    <w:p w:rsidR="00BA644B" w:rsidRPr="00DB04A4" w:rsidRDefault="00BA644B" w:rsidP="00BC7A19"/>
    <w:p w:rsidR="00BA644B" w:rsidRPr="00095042" w:rsidRDefault="00095042" w:rsidP="00BC7A19">
      <w:r w:rsidRPr="00BA644B">
        <w:rPr>
          <w:rFonts w:ascii="Segoe UI Symbol" w:hAnsi="Segoe UI Symbol" w:cs="Segoe UI Symbol"/>
        </w:rPr>
        <w:t>⚖</w:t>
      </w:r>
      <w:r>
        <w:rPr>
          <w:rFonts w:asciiTheme="minorHAnsi" w:hAnsiTheme="minorHAnsi" w:cs="Segoe UI Symbol"/>
        </w:rPr>
        <w:t xml:space="preserve"> </w:t>
      </w:r>
      <w:r>
        <w:t>Правилник о садржају и начину издавања обрасца извештаја о повреди на раду и професионалном обољењу</w:t>
      </w:r>
    </w:p>
    <w:p w:rsidR="00BC7A19" w:rsidRPr="00DB04A4" w:rsidRDefault="00027E9C" w:rsidP="006550F6">
      <w:pPr>
        <w:jc w:val="right"/>
      </w:pPr>
      <w:hyperlink r:id="rId12" w:history="1">
        <w:r w:rsidR="00095042" w:rsidRPr="00DB04A4">
          <w:rPr>
            <w:rStyle w:val="Hyperlink"/>
          </w:rPr>
          <w:t>("Службени гласник РС", бр. 72/2006, 84/2006 - испр., 4/2016, 106/2018 и 14/2019)</w:t>
        </w:r>
      </w:hyperlink>
    </w:p>
    <w:p w:rsidR="00095042" w:rsidRPr="00DB04A4" w:rsidRDefault="00095042" w:rsidP="00BC7A19">
      <w:bookmarkStart w:id="7" w:name="_GoBack"/>
      <w:bookmarkEnd w:id="7"/>
    </w:p>
    <w:p w:rsidR="00095042" w:rsidRPr="00DB04A4" w:rsidRDefault="00095042" w:rsidP="00BC7A19"/>
    <w:sectPr w:rsidR="00095042" w:rsidRPr="00DB04A4" w:rsidSect="00474214">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E9C" w:rsidRDefault="00027E9C" w:rsidP="00740A26">
      <w:pPr>
        <w:spacing w:before="0" w:after="0" w:line="240" w:lineRule="auto"/>
      </w:pPr>
      <w:r>
        <w:separator/>
      </w:r>
    </w:p>
  </w:endnote>
  <w:endnote w:type="continuationSeparator" w:id="0">
    <w:p w:rsidR="00027E9C" w:rsidRDefault="00027E9C"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7A1CA4" w:rsidP="00600909">
    <w:pPr>
      <w:pStyle w:val="Footer"/>
      <w:ind w:firstLine="0"/>
      <w:jc w:val="center"/>
    </w:pPr>
    <w:r>
      <w:fldChar w:fldCharType="begin"/>
    </w:r>
    <w:r w:rsidR="00E85CF6">
      <w:instrText xml:space="preserve"> PAGE   \* MERGEFORMAT </w:instrText>
    </w:r>
    <w:r>
      <w:fldChar w:fldCharType="separate"/>
    </w:r>
    <w:r w:rsidR="0071738E">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E9C" w:rsidRDefault="00027E9C" w:rsidP="00740A26">
      <w:pPr>
        <w:spacing w:before="0" w:after="0" w:line="240" w:lineRule="auto"/>
      </w:pPr>
      <w:r>
        <w:separator/>
      </w:r>
    </w:p>
  </w:footnote>
  <w:footnote w:type="continuationSeparator" w:id="0">
    <w:p w:rsidR="00027E9C" w:rsidRDefault="00027E9C"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C0C"/>
    <w:rsid w:val="00003CE7"/>
    <w:rsid w:val="00027E9C"/>
    <w:rsid w:val="0003125A"/>
    <w:rsid w:val="00056B8D"/>
    <w:rsid w:val="00063ED5"/>
    <w:rsid w:val="00072E13"/>
    <w:rsid w:val="000765FD"/>
    <w:rsid w:val="0008259A"/>
    <w:rsid w:val="00095042"/>
    <w:rsid w:val="000C0DEA"/>
    <w:rsid w:val="001570E9"/>
    <w:rsid w:val="00160C8D"/>
    <w:rsid w:val="0017134D"/>
    <w:rsid w:val="0017600F"/>
    <w:rsid w:val="001879D6"/>
    <w:rsid w:val="00194E90"/>
    <w:rsid w:val="00196952"/>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D34A9"/>
    <w:rsid w:val="005E1118"/>
    <w:rsid w:val="00600909"/>
    <w:rsid w:val="00606F9C"/>
    <w:rsid w:val="006148CF"/>
    <w:rsid w:val="006166B9"/>
    <w:rsid w:val="00622170"/>
    <w:rsid w:val="006242AF"/>
    <w:rsid w:val="0063060A"/>
    <w:rsid w:val="00631562"/>
    <w:rsid w:val="006379B6"/>
    <w:rsid w:val="00640D56"/>
    <w:rsid w:val="006550F6"/>
    <w:rsid w:val="006A0A90"/>
    <w:rsid w:val="006B16E4"/>
    <w:rsid w:val="006B5340"/>
    <w:rsid w:val="006C77C4"/>
    <w:rsid w:val="006E3B3A"/>
    <w:rsid w:val="006F3B8E"/>
    <w:rsid w:val="006F79AB"/>
    <w:rsid w:val="00703D19"/>
    <w:rsid w:val="00713025"/>
    <w:rsid w:val="0071738E"/>
    <w:rsid w:val="007264AB"/>
    <w:rsid w:val="00727E8E"/>
    <w:rsid w:val="00732973"/>
    <w:rsid w:val="00735B79"/>
    <w:rsid w:val="00740A26"/>
    <w:rsid w:val="00750C06"/>
    <w:rsid w:val="00751FF8"/>
    <w:rsid w:val="00761CD1"/>
    <w:rsid w:val="007A1CA4"/>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C7CDF"/>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44B"/>
    <w:rsid w:val="00BA69EA"/>
    <w:rsid w:val="00BC09DB"/>
    <w:rsid w:val="00BC12C2"/>
    <w:rsid w:val="00BC7A19"/>
    <w:rsid w:val="00BD607D"/>
    <w:rsid w:val="00BD77DE"/>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45802"/>
    <w:rsid w:val="00D657F9"/>
    <w:rsid w:val="00D6640A"/>
    <w:rsid w:val="00D736FD"/>
    <w:rsid w:val="00D73F46"/>
    <w:rsid w:val="00D95AEC"/>
    <w:rsid w:val="00DB04A4"/>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D639D"/>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45CDA-66A8-460B-AD3A-D32088FE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BD607D"/>
    <w:pPr>
      <w:spacing w:after="0" w:line="240" w:lineRule="auto"/>
      <w:jc w:val="both"/>
    </w:pPr>
    <w:rPr>
      <w:rFonts w:ascii="Areal RNIDS" w:hAnsi="Areal RNIDS"/>
      <w:sz w:val="24"/>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rPr>
  </w:style>
  <w:style w:type="character" w:customStyle="1" w:styleId="hgkelc">
    <w:name w:val="hgkelc"/>
    <w:basedOn w:val="DefaultParagraphFont"/>
    <w:rsid w:val="00761CD1"/>
  </w:style>
  <w:style w:type="character" w:styleId="FollowedHyperlink">
    <w:name w:val="FollowedHyperlink"/>
    <w:basedOn w:val="DefaultParagraphFont"/>
    <w:uiPriority w:val="99"/>
    <w:semiHidden/>
    <w:unhideWhenUsed/>
    <w:rsid w:val="00BC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228922179">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68695152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graf.rs/propisi/pravilnik_o_sadrzaju_i_nacinu_izdavanja_obrasca_izvestaja_o_povredi_na_radu_i_profesionalnom_oboljenju.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agraf.rs/propisi/pravilnik-o-deklarisanju-oznacavanju-i-reklamiranju-hra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ragraf.rs/propisi/zakon_o_hemikalijama.html" TargetMode="External"/><Relationship Id="rId4" Type="http://schemas.openxmlformats.org/officeDocument/2006/relationships/settings" Target="settings.xml"/><Relationship Id="rId9" Type="http://schemas.openxmlformats.org/officeDocument/2006/relationships/hyperlink" Target="https://docplayer.rs/148422630-%D1%81%D0%BB%D1%83%D0%B6%D0%B1%D0%B5%D0%BD%D0%B8-%D0%B3%D0%BB%D0%B0%D1%81%D0%BD%D0%B8%D0%BA-%D1%80%D1%81-%D0%B1%D1%80-111-2009-20-2015-87-2018-87-2018-%D0%B4%D1%80%D1%83%D0%B3%D0%B8-%D0%B7%D0%B0%D0%BA%D0%BE%D0%BD%D0%B8-%D0%BD%D0%B0-%D0%BE%D1%81%D0%BD%D0%BE%D0%B2%D1%83-%D1%87%D0%BB%D0%B0%D0%BD%D0%B0-112-%D1%81%D1%82%D0%B0%D0%B2-1-%D1%82%D0%B0%D1%87%D0%BA%D0%B0-2-%D1%83%D1%81%D1%82%D0%B0%D0%B2%D0%B0-%D1%80%D0%B5%D0%BF%D1%83%D0%B1%D0%BB%D0%B8%D0%BA%D0%B5-%D1%81%D1%80%D0%B1%D0%B8%D1%98%D0%B5-%D0%B4%D0%BE%D0%BD%D0%BE%D1%81%D0%B8%D0%BC-%D1%83.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DCC3-6173-4763-A284-A65DCC03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7</cp:revision>
  <cp:lastPrinted>2022-11-05T18:06:00Z</cp:lastPrinted>
  <dcterms:created xsi:type="dcterms:W3CDTF">2022-11-05T18:05:00Z</dcterms:created>
  <dcterms:modified xsi:type="dcterms:W3CDTF">2022-12-12T14:05:00Z</dcterms:modified>
</cp:coreProperties>
</file>