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1748197"/>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516DB1"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21748197" w:history="1">
            <w:r w:rsidR="00516DB1" w:rsidRPr="00444773">
              <w:rPr>
                <w:rStyle w:val="Hyperlink"/>
                <w:noProof/>
              </w:rPr>
              <w:t>Садржај</w:t>
            </w:r>
            <w:r w:rsidR="00516DB1">
              <w:rPr>
                <w:noProof/>
                <w:webHidden/>
              </w:rPr>
              <w:tab/>
            </w:r>
            <w:r w:rsidR="00516DB1">
              <w:rPr>
                <w:noProof/>
                <w:webHidden/>
              </w:rPr>
              <w:fldChar w:fldCharType="begin"/>
            </w:r>
            <w:r w:rsidR="00516DB1">
              <w:rPr>
                <w:noProof/>
                <w:webHidden/>
              </w:rPr>
              <w:instrText xml:space="preserve"> PAGEREF _Toc121748197 \h </w:instrText>
            </w:r>
            <w:r w:rsidR="00516DB1">
              <w:rPr>
                <w:noProof/>
                <w:webHidden/>
              </w:rPr>
            </w:r>
            <w:r w:rsidR="00516DB1">
              <w:rPr>
                <w:noProof/>
                <w:webHidden/>
              </w:rPr>
              <w:fldChar w:fldCharType="separate"/>
            </w:r>
            <w:r w:rsidR="00516DB1">
              <w:rPr>
                <w:noProof/>
                <w:webHidden/>
              </w:rPr>
              <w:t>2</w:t>
            </w:r>
            <w:r w:rsidR="00516DB1">
              <w:rPr>
                <w:noProof/>
                <w:webHidden/>
              </w:rPr>
              <w:fldChar w:fldCharType="end"/>
            </w:r>
          </w:hyperlink>
        </w:p>
        <w:p w:rsidR="00516DB1" w:rsidRDefault="00516DB1">
          <w:pPr>
            <w:pStyle w:val="TOC2"/>
            <w:tabs>
              <w:tab w:val="right" w:leader="dot" w:pos="9629"/>
            </w:tabs>
            <w:rPr>
              <w:rFonts w:asciiTheme="minorHAnsi" w:eastAsiaTheme="minorEastAsia" w:hAnsiTheme="minorHAnsi"/>
              <w:noProof/>
              <w:sz w:val="22"/>
              <w:lang w:val="en-US"/>
            </w:rPr>
          </w:pPr>
          <w:hyperlink w:anchor="_Toc121748198" w:history="1">
            <w:r w:rsidRPr="00444773">
              <w:rPr>
                <w:rStyle w:val="Hyperlink"/>
                <w:noProof/>
                <w:lang w:val="en-CA"/>
              </w:rPr>
              <w:t xml:space="preserve">1 </w:t>
            </w:r>
            <w:r w:rsidRPr="00444773">
              <w:rPr>
                <w:rStyle w:val="Hyperlink"/>
                <w:noProof/>
              </w:rPr>
              <w:t>Предлог решења</w:t>
            </w:r>
            <w:r>
              <w:rPr>
                <w:noProof/>
                <w:webHidden/>
              </w:rPr>
              <w:tab/>
            </w:r>
            <w:r>
              <w:rPr>
                <w:noProof/>
                <w:webHidden/>
              </w:rPr>
              <w:fldChar w:fldCharType="begin"/>
            </w:r>
            <w:r>
              <w:rPr>
                <w:noProof/>
                <w:webHidden/>
              </w:rPr>
              <w:instrText xml:space="preserve"> PAGEREF _Toc121748198 \h </w:instrText>
            </w:r>
            <w:r>
              <w:rPr>
                <w:noProof/>
                <w:webHidden/>
              </w:rPr>
            </w:r>
            <w:r>
              <w:rPr>
                <w:noProof/>
                <w:webHidden/>
              </w:rPr>
              <w:fldChar w:fldCharType="separate"/>
            </w:r>
            <w:r>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199" w:history="1">
            <w:r w:rsidRPr="00444773">
              <w:rPr>
                <w:rStyle w:val="Hyperlink"/>
                <w:noProof/>
              </w:rPr>
              <w:t xml:space="preserve">1.1 </w:t>
            </w:r>
            <w:r w:rsidRPr="00444773">
              <w:rPr>
                <w:rStyle w:val="Hyperlink"/>
                <w:noProof/>
                <w:lang w:val="en-CA"/>
              </w:rPr>
              <w:t>ROOT</w:t>
            </w:r>
            <w:r w:rsidRPr="00444773">
              <w:rPr>
                <w:rStyle w:val="Hyperlink"/>
                <w:noProof/>
              </w:rPr>
              <w:t xml:space="preserve"> ( Корен )</w:t>
            </w:r>
            <w:r>
              <w:rPr>
                <w:noProof/>
                <w:webHidden/>
              </w:rPr>
              <w:tab/>
            </w:r>
            <w:r>
              <w:rPr>
                <w:noProof/>
                <w:webHidden/>
              </w:rPr>
              <w:fldChar w:fldCharType="begin"/>
            </w:r>
            <w:r>
              <w:rPr>
                <w:noProof/>
                <w:webHidden/>
              </w:rPr>
              <w:instrText xml:space="preserve"> PAGEREF _Toc121748199 \h </w:instrText>
            </w:r>
            <w:r>
              <w:rPr>
                <w:noProof/>
                <w:webHidden/>
              </w:rPr>
            </w:r>
            <w:r>
              <w:rPr>
                <w:noProof/>
                <w:webHidden/>
              </w:rPr>
              <w:fldChar w:fldCharType="separate"/>
            </w:r>
            <w:r>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0" w:history="1">
            <w:r w:rsidRPr="00444773">
              <w:rPr>
                <w:rStyle w:val="Hyperlink"/>
                <w:noProof/>
              </w:rPr>
              <w:t>1.2 Први ниво</w:t>
            </w:r>
            <w:r>
              <w:rPr>
                <w:noProof/>
                <w:webHidden/>
              </w:rPr>
              <w:tab/>
            </w:r>
            <w:r>
              <w:rPr>
                <w:noProof/>
                <w:webHidden/>
              </w:rPr>
              <w:fldChar w:fldCharType="begin"/>
            </w:r>
            <w:r>
              <w:rPr>
                <w:noProof/>
                <w:webHidden/>
              </w:rPr>
              <w:instrText xml:space="preserve"> PAGEREF _Toc121748200 \h </w:instrText>
            </w:r>
            <w:r>
              <w:rPr>
                <w:noProof/>
                <w:webHidden/>
              </w:rPr>
            </w:r>
            <w:r>
              <w:rPr>
                <w:noProof/>
                <w:webHidden/>
              </w:rPr>
              <w:fldChar w:fldCharType="separate"/>
            </w:r>
            <w:r>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1" w:history="1">
            <w:r w:rsidRPr="00444773">
              <w:rPr>
                <w:rStyle w:val="Hyperlink"/>
                <w:noProof/>
              </w:rPr>
              <w:t>1.3 Други ниво</w:t>
            </w:r>
            <w:r>
              <w:rPr>
                <w:noProof/>
                <w:webHidden/>
              </w:rPr>
              <w:tab/>
            </w:r>
            <w:r>
              <w:rPr>
                <w:noProof/>
                <w:webHidden/>
              </w:rPr>
              <w:fldChar w:fldCharType="begin"/>
            </w:r>
            <w:r>
              <w:rPr>
                <w:noProof/>
                <w:webHidden/>
              </w:rPr>
              <w:instrText xml:space="preserve"> PAGEREF _Toc121748201 \h </w:instrText>
            </w:r>
            <w:r>
              <w:rPr>
                <w:noProof/>
                <w:webHidden/>
              </w:rPr>
            </w:r>
            <w:r>
              <w:rPr>
                <w:noProof/>
                <w:webHidden/>
              </w:rPr>
              <w:fldChar w:fldCharType="separate"/>
            </w:r>
            <w:r>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2" w:history="1">
            <w:r w:rsidRPr="00444773">
              <w:rPr>
                <w:rStyle w:val="Hyperlink"/>
                <w:noProof/>
              </w:rPr>
              <w:t>2 Кориснички интерфејс</w:t>
            </w:r>
            <w:r>
              <w:rPr>
                <w:noProof/>
                <w:webHidden/>
              </w:rPr>
              <w:tab/>
            </w:r>
            <w:r>
              <w:rPr>
                <w:noProof/>
                <w:webHidden/>
              </w:rPr>
              <w:fldChar w:fldCharType="begin"/>
            </w:r>
            <w:r>
              <w:rPr>
                <w:noProof/>
                <w:webHidden/>
              </w:rPr>
              <w:instrText xml:space="preserve"> PAGEREF _Toc121748202 \h </w:instrText>
            </w:r>
            <w:r>
              <w:rPr>
                <w:noProof/>
                <w:webHidden/>
              </w:rPr>
            </w:r>
            <w:r>
              <w:rPr>
                <w:noProof/>
                <w:webHidden/>
              </w:rPr>
              <w:fldChar w:fldCharType="separate"/>
            </w:r>
            <w:r>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3" w:history="1">
            <w:r w:rsidRPr="00444773">
              <w:rPr>
                <w:rStyle w:val="Hyperlink"/>
                <w:noProof/>
              </w:rPr>
              <w:t>3.2 Хардвер</w:t>
            </w:r>
            <w:r>
              <w:rPr>
                <w:noProof/>
                <w:webHidden/>
              </w:rPr>
              <w:tab/>
            </w:r>
            <w:r>
              <w:rPr>
                <w:noProof/>
                <w:webHidden/>
              </w:rPr>
              <w:fldChar w:fldCharType="begin"/>
            </w:r>
            <w:r>
              <w:rPr>
                <w:noProof/>
                <w:webHidden/>
              </w:rPr>
              <w:instrText xml:space="preserve"> PAGEREF _Toc121748203 \h </w:instrText>
            </w:r>
            <w:r>
              <w:rPr>
                <w:noProof/>
                <w:webHidden/>
              </w:rPr>
            </w:r>
            <w:r>
              <w:rPr>
                <w:noProof/>
                <w:webHidden/>
              </w:rPr>
              <w:fldChar w:fldCharType="separate"/>
            </w:r>
            <w:r>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4" w:history="1">
            <w:r w:rsidRPr="00444773">
              <w:rPr>
                <w:rStyle w:val="Hyperlink"/>
                <w:noProof/>
                <w:lang w:val="en-CA"/>
              </w:rPr>
              <w:t>3.3</w:t>
            </w:r>
            <w:r w:rsidRPr="00444773">
              <w:rPr>
                <w:rStyle w:val="Hyperlink"/>
                <w:noProof/>
              </w:rPr>
              <w:t xml:space="preserve"> Погодност за употребу</w:t>
            </w:r>
            <w:r>
              <w:rPr>
                <w:noProof/>
                <w:webHidden/>
              </w:rPr>
              <w:tab/>
            </w:r>
            <w:r>
              <w:rPr>
                <w:noProof/>
                <w:webHidden/>
              </w:rPr>
              <w:fldChar w:fldCharType="begin"/>
            </w:r>
            <w:r>
              <w:rPr>
                <w:noProof/>
                <w:webHidden/>
              </w:rPr>
              <w:instrText xml:space="preserve"> PAGEREF _Toc121748204 \h </w:instrText>
            </w:r>
            <w:r>
              <w:rPr>
                <w:noProof/>
                <w:webHidden/>
              </w:rPr>
            </w:r>
            <w:r>
              <w:rPr>
                <w:noProof/>
                <w:webHidden/>
              </w:rPr>
              <w:fldChar w:fldCharType="separate"/>
            </w:r>
            <w:r>
              <w:rPr>
                <w:noProof/>
                <w:webHidden/>
              </w:rPr>
              <w:t>5</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5" w:history="1">
            <w:r w:rsidRPr="00444773">
              <w:rPr>
                <w:rStyle w:val="Hyperlink"/>
                <w:noProof/>
                <w:lang w:val="en-CA"/>
              </w:rPr>
              <w:t xml:space="preserve">3.4 </w:t>
            </w:r>
            <w:r w:rsidRPr="00444773">
              <w:rPr>
                <w:rStyle w:val="Hyperlink"/>
                <w:noProof/>
              </w:rPr>
              <w:t>Захтевне перформансе</w:t>
            </w:r>
            <w:r>
              <w:rPr>
                <w:noProof/>
                <w:webHidden/>
              </w:rPr>
              <w:tab/>
            </w:r>
            <w:r>
              <w:rPr>
                <w:noProof/>
                <w:webHidden/>
              </w:rPr>
              <w:fldChar w:fldCharType="begin"/>
            </w:r>
            <w:r>
              <w:rPr>
                <w:noProof/>
                <w:webHidden/>
              </w:rPr>
              <w:instrText xml:space="preserve"> PAGEREF _Toc121748205 \h </w:instrText>
            </w:r>
            <w:r>
              <w:rPr>
                <w:noProof/>
                <w:webHidden/>
              </w:rPr>
            </w:r>
            <w:r>
              <w:rPr>
                <w:noProof/>
                <w:webHidden/>
              </w:rPr>
              <w:fldChar w:fldCharType="separate"/>
            </w:r>
            <w:r>
              <w:rPr>
                <w:noProof/>
                <w:webHidden/>
              </w:rPr>
              <w:t>6</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6" w:history="1">
            <w:r w:rsidRPr="00444773">
              <w:rPr>
                <w:rStyle w:val="Hyperlink"/>
                <w:noProof/>
                <w:lang w:val="en-CA"/>
              </w:rPr>
              <w:t xml:space="preserve">3.5 </w:t>
            </w:r>
            <w:r w:rsidRPr="00444773">
              <w:rPr>
                <w:rStyle w:val="Hyperlink"/>
                <w:noProof/>
              </w:rPr>
              <w:t>Системске карактеристике софтвера система</w:t>
            </w:r>
            <w:r>
              <w:rPr>
                <w:noProof/>
                <w:webHidden/>
              </w:rPr>
              <w:tab/>
            </w:r>
            <w:r>
              <w:rPr>
                <w:noProof/>
                <w:webHidden/>
              </w:rPr>
              <w:fldChar w:fldCharType="begin"/>
            </w:r>
            <w:r>
              <w:rPr>
                <w:noProof/>
                <w:webHidden/>
              </w:rPr>
              <w:instrText xml:space="preserve"> PAGEREF _Toc121748206 \h </w:instrText>
            </w:r>
            <w:r>
              <w:rPr>
                <w:noProof/>
                <w:webHidden/>
              </w:rPr>
            </w:r>
            <w:r>
              <w:rPr>
                <w:noProof/>
                <w:webHidden/>
              </w:rPr>
              <w:fldChar w:fldCharType="separate"/>
            </w:r>
            <w:r>
              <w:rPr>
                <w:noProof/>
                <w:webHidden/>
              </w:rPr>
              <w:t>7</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7" w:history="1">
            <w:r w:rsidRPr="00444773">
              <w:rPr>
                <w:rStyle w:val="Hyperlink"/>
                <w:noProof/>
              </w:rPr>
              <w:t>3.6 Форме за менаџмент</w:t>
            </w:r>
            <w:r>
              <w:rPr>
                <w:noProof/>
                <w:webHidden/>
              </w:rPr>
              <w:tab/>
            </w:r>
            <w:r>
              <w:rPr>
                <w:noProof/>
                <w:webHidden/>
              </w:rPr>
              <w:fldChar w:fldCharType="begin"/>
            </w:r>
            <w:r>
              <w:rPr>
                <w:noProof/>
                <w:webHidden/>
              </w:rPr>
              <w:instrText xml:space="preserve"> PAGEREF _Toc121748207 \h </w:instrText>
            </w:r>
            <w:r>
              <w:rPr>
                <w:noProof/>
                <w:webHidden/>
              </w:rPr>
            </w:r>
            <w:r>
              <w:rPr>
                <w:noProof/>
                <w:webHidden/>
              </w:rPr>
              <w:fldChar w:fldCharType="separate"/>
            </w:r>
            <w:r>
              <w:rPr>
                <w:noProof/>
                <w:webHidden/>
              </w:rPr>
              <w:t>8</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1" w:name="_Toc121748198"/>
      <w:r>
        <w:rPr>
          <w:lang w:val="en-CA"/>
        </w:rPr>
        <w:lastRenderedPageBreak/>
        <w:t>1</w:t>
      </w:r>
      <w:r w:rsidR="00686CED">
        <w:rPr>
          <w:lang w:val="en-CA"/>
        </w:rPr>
        <w:t xml:space="preserve"> </w:t>
      </w:r>
      <w:r w:rsidR="00A619A8">
        <w:t>Предлог решења</w:t>
      </w:r>
      <w:bookmarkEnd w:id="1"/>
    </w:p>
    <w:p w:rsidR="00511E63" w:rsidRPr="00511E63" w:rsidRDefault="00511E63" w:rsidP="00511E63"/>
    <w:p w:rsidR="00A619A8" w:rsidRPr="00654AFC" w:rsidRDefault="00A619A8" w:rsidP="00511E63">
      <w:pPr>
        <w:pStyle w:val="Heading3"/>
      </w:pPr>
      <w:bookmarkStart w:id="2" w:name="_Toc121748199"/>
      <w:r>
        <w:t xml:space="preserve">1.1 </w:t>
      </w:r>
      <w:r w:rsidR="00654AFC">
        <w:rPr>
          <w:lang w:val="en-CA"/>
        </w:rPr>
        <w:t>ROOT</w:t>
      </w:r>
      <w:r w:rsidR="00654AFC">
        <w:t xml:space="preserve"> ( Корен )</w:t>
      </w:r>
      <w:bookmarkEnd w:id="2"/>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3" w:name="_Toc121748200"/>
      <w:r w:rsidR="001A3948">
        <w:t>1.2 Први ниво</w:t>
      </w:r>
      <w:bookmarkEnd w:id="3"/>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4" w:name="_Toc121748201"/>
      <w:r>
        <w:lastRenderedPageBreak/>
        <w:t>1.3 Други ниво</w:t>
      </w:r>
      <w:bookmarkEnd w:id="4"/>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5" w:name="_Toc121748202"/>
      <w:r>
        <w:t>2</w:t>
      </w:r>
      <w:r>
        <w:t xml:space="preserve"> </w:t>
      </w:r>
      <w:r>
        <w:t>Кориснички интерфејс</w:t>
      </w:r>
      <w:bookmarkEnd w:id="5"/>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516DB1" w:rsidRDefault="00516DB1" w:rsidP="00516DB1">
      <w:pPr>
        <w:rPr>
          <w:lang w:val="en-CA"/>
        </w:rPr>
      </w:pPr>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6" w:name="_Toc118567495"/>
      <w:bookmarkStart w:id="7" w:name="_Toc121748203"/>
      <w:r>
        <w:t>3.2 Хардвер</w:t>
      </w:r>
      <w:bookmarkEnd w:id="6"/>
      <w:bookmarkEnd w:id="7"/>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br w:type="page"/>
      </w:r>
    </w:p>
    <w:p w:rsidR="00471865" w:rsidRPr="00735B79" w:rsidRDefault="00471865" w:rsidP="003B4110"/>
    <w:p w:rsidR="00BE2B5C" w:rsidRDefault="00BE2B5C" w:rsidP="00BE2B5C">
      <w:pPr>
        <w:pStyle w:val="Heading3"/>
      </w:pPr>
      <w:bookmarkStart w:id="8" w:name="_Toc118567496"/>
      <w:bookmarkStart w:id="9" w:name="_Toc121748204"/>
      <w:r>
        <w:rPr>
          <w:lang w:val="en-CA"/>
        </w:rPr>
        <w:t>3.3</w:t>
      </w:r>
      <w:r>
        <w:t xml:space="preserve"> Погодност за употребу</w:t>
      </w:r>
      <w:bookmarkEnd w:id="8"/>
      <w:bookmarkEnd w:id="9"/>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bookmarkStart w:id="10" w:name="_GoBack"/>
      <w:bookmarkEnd w:id="10"/>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 xml:space="preserve">Главна странице апликације је такође урађена на начин где се користи мешавина ручно куриране сезонске колекције као и алгоритама који прати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купљене од стране тог исток корисника.</w:t>
      </w:r>
    </w:p>
    <w:p w:rsidR="00BE2B5C" w:rsidRDefault="00BE2B5C" w:rsidP="00BE2B5C">
      <w:r>
        <w:t>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категорије , један артикал може да буде члан више категорија тј. филтера зависно од његових карактеристика.</w:t>
      </w:r>
    </w:p>
    <w:p w:rsidR="00BE2B5C" w:rsidRDefault="00BE2B5C" w:rsidP="00BE2B5C">
      <w:r>
        <w:t>Категорије су одвојене у хијерархије и неке од подела су величина гардеробе, филтер за доступност ( да ли је артикал распродат), могућност да се подеси домен цене тј. буџет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Pr>
          <w:lang w:val="en-CA"/>
        </w:rPr>
        <w:t xml:space="preserve"> </w:t>
      </w:r>
      <w:r>
        <w:t>величину гардеробе (</w:t>
      </w:r>
      <w:r>
        <w:rPr>
          <w:lang w:val="sr-Latn-RS"/>
        </w:rPr>
        <w:t>XS,S,M,L,XL,XXL)</w:t>
      </w:r>
      <w:r>
        <w:t xml:space="preserve">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за сортирање по имену имамо и (А-Ш) као и (Ш-А), у случају да је корисник на верзији апликације са промењеним језиком понуђени су (А</w:t>
      </w:r>
      <w:r>
        <w:rPr>
          <w:lang w:val="sr-Latn-RS"/>
        </w:rPr>
        <w:t xml:space="preserve">-Z) </w:t>
      </w:r>
      <w:r>
        <w:t xml:space="preserve">и </w:t>
      </w:r>
      <w:r>
        <w:rPr>
          <w:lang w:val="en-CA"/>
        </w:rPr>
        <w:t>(Z-A)</w:t>
      </w:r>
      <w:r>
        <w:t xml:space="preserve">. </w:t>
      </w:r>
    </w:p>
    <w:p w:rsidR="00BE2B5C" w:rsidRDefault="00BE2B5C" w:rsidP="00BE2B5C">
      <w:pPr>
        <w:pStyle w:val="Heading3"/>
      </w:pPr>
      <w:bookmarkStart w:id="11" w:name="_Toc118567497"/>
      <w:bookmarkStart w:id="12" w:name="_Toc121748205"/>
      <w:r>
        <w:rPr>
          <w:lang w:val="en-CA"/>
        </w:rPr>
        <w:lastRenderedPageBreak/>
        <w:t xml:space="preserve">3.4 </w:t>
      </w:r>
      <w:r>
        <w:t>Захтевне перформансе</w:t>
      </w:r>
      <w:bookmarkEnd w:id="11"/>
      <w:bookmarkEnd w:id="12"/>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Да би малопродајни купац, тј. купци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 прављење корисничких налога такође помаже перформансама јер уз помоћ кепча (</w:t>
      </w:r>
      <w:proofErr w:type="spellStart"/>
      <w:r>
        <w:rPr>
          <w:lang w:val="en-CA"/>
        </w:rPr>
        <w:t>eng.</w:t>
      </w:r>
      <w:proofErr w:type="spellEnd"/>
      <w:r>
        <w:rPr>
          <w:lang w:val="en-CA"/>
        </w:rPr>
        <w:t xml:space="preserve"> Captcha)</w:t>
      </w:r>
      <w:r>
        <w:t xml:space="preserve"> система направљеног од стране компаније Гугл (eng. </w:t>
      </w:r>
      <w:r>
        <w:rPr>
          <w:lang w:val="en-CA"/>
        </w:rPr>
        <w:t>Google)</w:t>
      </w:r>
      <w:r>
        <w:t xml:space="preserve"> ми се обезбеђујемо и смањујемо шансе </w:t>
      </w:r>
      <w:proofErr w:type="spellStart"/>
      <w:r>
        <w:t>бот</w:t>
      </w:r>
      <w:proofErr w:type="spellEnd"/>
      <w:r>
        <w:t>-напада , тј. скрипта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w:t>
      </w:r>
      <w:r>
        <w:rPr>
          <w:lang w:val="sr-Latn-RS"/>
        </w:rPr>
        <w:t>.</w:t>
      </w:r>
      <w:r>
        <w:t xml:space="preserve"> </w:t>
      </w:r>
      <w:proofErr w:type="spellStart"/>
      <w:r>
        <w:rPr>
          <w:lang w:val="sr-Latn-RS"/>
        </w:rPr>
        <w:t>CloudFlare</w:t>
      </w:r>
      <w:proofErr w:type="spellEnd"/>
      <w:r>
        <w:rPr>
          <w:lang w:val="sr-Latn-RS"/>
        </w:rPr>
        <w:t xml:space="preserve">) </w:t>
      </w:r>
      <w:r>
        <w:t xml:space="preserve">које активно штите сајт од тих напада помоћу различитих метода, (пример. </w:t>
      </w:r>
      <w:proofErr w:type="spellStart"/>
      <w:r>
        <w:rPr>
          <w:lang w:val="sr-Latn-RS"/>
        </w:rPr>
        <w:t>Cloud</w:t>
      </w:r>
      <w:proofErr w:type="spellEnd"/>
      <w:r>
        <w:rPr>
          <w:lang w:val="sr-Latn-RS"/>
        </w:rPr>
        <w:t xml:space="preserve"> </w:t>
      </w:r>
      <w:proofErr w:type="spellStart"/>
      <w:r>
        <w:rPr>
          <w:lang w:val="sr-Latn-RS"/>
        </w:rPr>
        <w:t>Scrubbing</w:t>
      </w:r>
      <w:proofErr w:type="spellEnd"/>
      <w:r>
        <w:rPr>
          <w:lang w:val="sr-Latn-RS"/>
        </w:rPr>
        <w:t xml:space="preserve"> </w:t>
      </w:r>
      <w:r>
        <w:rPr>
          <w:lang w:val="en-CA"/>
        </w:rPr>
        <w:t xml:space="preserve">| </w:t>
      </w:r>
      <w:r>
        <w:t>„</w:t>
      </w:r>
      <w:proofErr w:type="spellStart"/>
      <w:r>
        <w:t>Клауд</w:t>
      </w:r>
      <w:proofErr w:type="spellEnd"/>
      <w:r>
        <w:t xml:space="preserve">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3" w:name="_Toc118567498"/>
      <w:bookmarkStart w:id="14" w:name="_Toc121748206"/>
      <w:r>
        <w:rPr>
          <w:lang w:val="en-CA"/>
        </w:rPr>
        <w:lastRenderedPageBreak/>
        <w:t xml:space="preserve">3.5 </w:t>
      </w:r>
      <w:r>
        <w:t>Системске карактеристике софтвера система</w:t>
      </w:r>
      <w:bookmarkEnd w:id="13"/>
      <w:bookmarkEnd w:id="14"/>
    </w:p>
    <w:p w:rsidR="00BE2B5C" w:rsidRDefault="00BE2B5C" w:rsidP="00BE2B5C">
      <w:pPr>
        <w:rPr>
          <w:lang w:val="en-CA"/>
        </w:rPr>
      </w:pPr>
    </w:p>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5" w:name="_Toc118567494"/>
      <w:bookmarkStart w:id="16" w:name="_Toc121748207"/>
      <w:r>
        <w:lastRenderedPageBreak/>
        <w:t>3.6</w:t>
      </w:r>
      <w:r>
        <w:t xml:space="preserve"> </w:t>
      </w:r>
      <w:bookmarkEnd w:id="15"/>
      <w:r>
        <w:t>Форме за менаџмент</w:t>
      </w:r>
      <w:bookmarkEnd w:id="16"/>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 xml:space="preserve">Форма за унос новог сарадника треба да садржи: шифру, шифру уговора, име, презиме, адреса, град, </w:t>
      </w:r>
      <w:proofErr w:type="spellStart"/>
      <w:r>
        <w:t>јмбг</w:t>
      </w:r>
      <w:proofErr w:type="spellEnd"/>
      <w:r>
        <w:t>,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продајних артикала треба да садржи: име, шифру, цену, опис(материјал, димензије, тежину) и напомену(нпр да ли је роба ломљива, истегљива итд..., и како се одржава).</w:t>
      </w:r>
      <w:r>
        <w:tab/>
      </w:r>
      <w:r>
        <w:br/>
      </w:r>
    </w:p>
    <w:p w:rsidR="00471865" w:rsidRDefault="00471865" w:rsidP="00471865">
      <w:pPr>
        <w:pStyle w:val="ListParagraph"/>
        <w:numPr>
          <w:ilvl w:val="0"/>
          <w:numId w:val="9"/>
        </w:numPr>
      </w:pPr>
      <w:r>
        <w:t>Форма за унос корисника треба да садржи: име, презиме,</w:t>
      </w:r>
      <w:r>
        <w:t xml:space="preserve"> корисничко име, </w:t>
      </w:r>
      <w:r w:rsidRPr="00750C06">
        <w:rPr>
          <w:lang w:val="en-US"/>
        </w:rPr>
        <w:t>email</w:t>
      </w:r>
      <w:r w:rsidRPr="000D6693">
        <w:t xml:space="preserve">, </w:t>
      </w:r>
      <w:r>
        <w:t>поштанска адреса и број картице.</w:t>
      </w:r>
    </w:p>
    <w:p w:rsidR="00471865" w:rsidRPr="00972421" w:rsidRDefault="00471865" w:rsidP="00BE2B5C"/>
    <w:p w:rsidR="007A6F57" w:rsidRPr="007A6F57" w:rsidRDefault="007A6F57" w:rsidP="007A6F57"/>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6A8" w:rsidRDefault="00A776A8" w:rsidP="00740A26">
      <w:pPr>
        <w:spacing w:before="0" w:after="0" w:line="240" w:lineRule="auto"/>
      </w:pPr>
      <w:r>
        <w:separator/>
      </w:r>
    </w:p>
  </w:endnote>
  <w:endnote w:type="continuationSeparator" w:id="0">
    <w:p w:rsidR="00A776A8" w:rsidRDefault="00A776A8"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516DB1">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6A8" w:rsidRDefault="00A776A8" w:rsidP="00740A26">
      <w:pPr>
        <w:spacing w:before="0" w:after="0" w:line="240" w:lineRule="auto"/>
      </w:pPr>
      <w:r>
        <w:separator/>
      </w:r>
    </w:p>
  </w:footnote>
  <w:footnote w:type="continuationSeparator" w:id="0">
    <w:p w:rsidR="00A776A8" w:rsidRDefault="00A776A8"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54AFC"/>
    <w:rsid w:val="00686CED"/>
    <w:rsid w:val="006A0A90"/>
    <w:rsid w:val="006B16E4"/>
    <w:rsid w:val="006B5340"/>
    <w:rsid w:val="006C1DD0"/>
    <w:rsid w:val="006C77C4"/>
    <w:rsid w:val="006E3B3A"/>
    <w:rsid w:val="006F3B8E"/>
    <w:rsid w:val="006F79AB"/>
    <w:rsid w:val="00703D19"/>
    <w:rsid w:val="00713025"/>
    <w:rsid w:val="007264AB"/>
    <w:rsid w:val="00727E8E"/>
    <w:rsid w:val="00732973"/>
    <w:rsid w:val="00735B79"/>
    <w:rsid w:val="00740A26"/>
    <w:rsid w:val="00750C06"/>
    <w:rsid w:val="00751FF8"/>
    <w:rsid w:val="00764777"/>
    <w:rsid w:val="007A6F57"/>
    <w:rsid w:val="007B3ACA"/>
    <w:rsid w:val="007C1DF4"/>
    <w:rsid w:val="007C488F"/>
    <w:rsid w:val="008032BB"/>
    <w:rsid w:val="008044F8"/>
    <w:rsid w:val="00804E20"/>
    <w:rsid w:val="008070A4"/>
    <w:rsid w:val="008231D0"/>
    <w:rsid w:val="00827683"/>
    <w:rsid w:val="00847048"/>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6D25"/>
    <w:rsid w:val="00972421"/>
    <w:rsid w:val="00986810"/>
    <w:rsid w:val="00997618"/>
    <w:rsid w:val="009A7248"/>
    <w:rsid w:val="009C41B5"/>
    <w:rsid w:val="009E443A"/>
    <w:rsid w:val="009E6655"/>
    <w:rsid w:val="009F2B0C"/>
    <w:rsid w:val="00A1571B"/>
    <w:rsid w:val="00A35EC2"/>
    <w:rsid w:val="00A46EB9"/>
    <w:rsid w:val="00A57970"/>
    <w:rsid w:val="00A619A8"/>
    <w:rsid w:val="00A66DE4"/>
    <w:rsid w:val="00A776A8"/>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607D"/>
    <w:rsid w:val="00BD77DE"/>
    <w:rsid w:val="00BE2B5C"/>
    <w:rsid w:val="00BF183C"/>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079A-BB5B-4FD2-A9BD-8380FD01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8</cp:revision>
  <cp:lastPrinted>2022-11-26T14:02:00Z</cp:lastPrinted>
  <dcterms:created xsi:type="dcterms:W3CDTF">2022-11-26T11:49:00Z</dcterms:created>
  <dcterms:modified xsi:type="dcterms:W3CDTF">2022-12-12T13:36:00Z</dcterms:modified>
</cp:coreProperties>
</file>