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7" w:right="907"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software and hardware with AI coding agents. Agents now write each part of a product quickly, but the facts the parts share are still copied between them and drift apart. Fiducial declares every fact once, generates every artifact from it – code, translations, circuit board and enclosure – and checks every change, so agents work within guarantees instead of being trusted. In a test of 20 realistic mistakes, the checks caught all 20 before they could be merged.</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has shown where the difficulty has moved. Writing each part is no longer the slow step; keeping the parts in agreement is. In Outreach,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 (Fig. 1a).</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01338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3017520" cy="1013384"/>
                    </a:xfrm>
                    <a:prstGeom prst="rect"/>
                  </pic:spPr>
                </pic:pic>
              </a:graphicData>
            </a:graphic>
          </wp:inline>
        </w:drawing>
      </w:r>
    </w:p>
    <w:p>
      <w:pPr>
        <w:pStyle w:val="figurecaption"/>
        <w:keepNext w:val="0"/>
      </w:pPr>
      <w:r>
        <w:t>One fact used in four places: (a) copied by hand, one copy changes and nothing notices; (b) declared once, every copy is generated from it and checked.</w:t>
      </w:r>
    </w:p>
    <w:p>
      <w:pPr>
        <w:pStyle w:val="BodyText"/>
      </w:pPr>
      <w:r>
        <w:t>Agents do not remove this problem; they speed it up. An agent sees only the codebase it works in,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(Fig. 1b). This paper presents Fiducial [4], an open-source platform built to provide it, compares it with existing approaches, and tests whether its checks catch the mistakes that people and agents actually make.</w:t>
      </w:r>
    </w:p>
    <w:p>
      <w:pPr>
        <w:pStyle w:val="Heading1"/>
        <w:keepNext/>
      </w:pPr>
      <w:r>
        <w:t>Existing Approaches</w:t>
      </w:r>
    </w:p>
    <w:p>
      <w:pPr>
        <w:pStyle w:val="BodyText"/>
      </w:pPr>
      <w:r>
        <w:t>Several kinds of tool already address parts of this problem, and each falls short in the same way: it keeps one kind of fact, or one pair of disciplines, in agreement, but not the product as a whole (Table I).</w:t>
      </w:r>
    </w:p>
    <w:p>
      <w:pPr>
        <w:pStyle w:val="BodyText"/>
      </w:pPr>
      <w:r>
        <w:t>Model-driven and model-based systems engineering keep a design in one central model and generate or check other views from it [5], [6]. They are the closest in spirit, but the model lives in a specialised graphical tool, the code is still written by hand beside it, and an agent cannot easily work in it. Engineering suites link neighbouring disciplines instead: Altium’s MCAD CoDesigner passes changes between a circuit board and its mechanical model [7]. The firmware, the app and the translations stay outside, and the link is between two tools, not from one source.</w:t>
      </w:r>
    </w:p>
    <w:p>
      <w:pPr>
        <w:pStyle w:val="BodyText"/>
      </w:pPr>
      <w:r>
        <w:t>Design-as-code tools write hardware as text: a circuit in atopile [8], a case as a build123d script [9]. This is what makes hardware writable by an agent, and Fiducial uses build123d. But each covers one discipline. Fiducial’s first design planned to author boards in atopile, and found that a circuit language does not cover the case, the layout or the cost, so the board’s facts would still be copied into each of them. Interface languages such as Protocol Buffers declare a message once and generate the code for both sides [10]. That removes the drift met in Outreach, but only for messages; a pin, a colour or a board size has no such home.</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Build systems such as Bazel [11] and Nix [12] rebuild exactly what changed, and Nix identifies every result by a fingerprint of its inputs. They guarantee that outputs follow from files, not that files agree with each other: the same fact typed into two source files builds without complaint. Coding agents, finally, follow context files such as AGENTS.md [13], which describe a repository’s rules but do not enforce them. A known way to use a generator that can be wrong is to pair it with a checker that cannot [14], but no existing checker spans a whole product.</w:t>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written in Rust. Its parts are described below; Fig. 2 shows how a change moves through them.</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Adding translations, for example, brings the language files, their generator, the check that every language has every string, and the agent’s instructions. fid upgrade brings platform improvements into each product while keeping its own edits.</w:t>
      </w:r>
    </w:p>
    <w:p>
      <w:pPr>
        <w:pStyle w:val="Heading2"/>
        <w:keepNext/>
      </w:pPr>
      <w:r>
        <w:t>One Typed Language Underneath</w:t>
      </w:r>
    </w:p>
    <w:p>
      <w:pPr>
        <w:pStyle w:val="BodyText"/>
      </w:pPr>
      <w:r>
        <w:t>The platform, and the code products share through it, is written in Rust, a compiled language with a strict type system. The choice follows from the approach: every mistake the compiler refuses is one the checks never have to catch, and it is refused before anything runs, with a message naming the file and line – the signal an agent needs. Rust also needs no runtime or garbage collector, so one body of code can run wherever a product does. Its core is written without the standard library: the same message format, identifiers and typed physical quantities compile into a microcontroller’s firmware, into the fid tool, and to WebAssembly, which runs them in the browser and on edge servers. The TypeScript types the web code uses are generated from the Rust ones, never written by hand, so the boundary between the two languages cannot drift either. TypeScript is used for interfaces, and Python only at build time, to drive the engines.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[15].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[16], is given the rules a placement must satisfy and finds one that does, or proves none exists; build123d [9] builds the case; KiCad routes and checks the board. Every placement rule is one of eight general kinds, such as inside, apart or near, so a new product needs new declarations rather than new code. The solver’s answer is stored with the fingerprint of the problem it solved, so checking a product never runs it again. The engines check as well as build: KiCad confirms the board can be made, and the case model confirms that the board fits and the lid closes.</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870862"/>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3017520" cy="1870862"/>
                    </a:xfrm>
                    <a:prstGeom prst="rect"/>
                  </pic:spPr>
                </pic:pic>
              </a:graphicData>
            </a:graphic>
          </wp:inline>
        </w:drawing>
      </w:r>
    </w:p>
    <w:p>
      <w:pPr>
        <w:pStyle w:val="figurecaption"/>
        <w:keepNext w:val="0"/>
      </w:pPr>
      <w:r>
        <w:t>How a change moves through Fiducial: declarations are edited, generation produces the artifacts with the help of established engines, and the checks either accept the change or return a message naming the declaration at fault.</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372978"/>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3017520" cy="1372978"/>
                    </a:xfrm>
                    <a:prstGeom prst="rect"/>
                  </pic:spPr>
                </pic:pic>
              </a:graphicData>
            </a:graphic>
          </wp:inline>
        </w:drawing>
      </w:r>
    </w:p>
    <w:p>
      <w:pPr>
        <w:pStyle w:val="figurecaption"/>
        <w:keepNext w:val="0"/>
      </w:pPr>
      <w:r>
        <w:t>The sensor stick, generated from its declaration: (a) the closed case; (b) the routed board inside it, with the sensor under its vent.</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fid dash shows the whole product’s state in one view, recomputed from the repository, so an agent starts from facts rather than guesses.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product: a USB-C stick that measures temperature and humidity and shows them on a web page (Fig. 3). It is small, but it has every discipline: a printed case, a circuit board, firmware in Rust and a page that reads the sensor in the browser. It was chosen as the smallest product that still crosses all of them, so every rule described above applies to it.</w:t>
      </w:r>
    </w:p>
    <w:p>
      <w:pPr>
        <w:pStyle w:val="BodyText"/>
      </w:pPr>
      <w:r>
        <w:t>The person writes the product declaration, an outline of its shape, the firmware’s logic and the page. Everything else is generated: the routed board with its schematic and bill of materials, the case built around it, the files a manufacturer needs, and the code the firmware and the page use to exchange readings. Moving the sensor to another pin is one changed line. Until the product is regenerated the check fails; afterwards the board, the firmware’s pin map and the page’s types have all followed, with no edit to the firmware or the page. If the new pin is one the chip’s sensor bus cannot use, the firmware stops compiling – before any board is made.</w:t>
      </w:r>
    </w:p>
    <w:p>
      <w:pPr>
        <w:pStyle w:val="Heading1"/>
        <w:keepNext/>
      </w:pPr>
      <w:r>
        <w:t>Evaluation</w:t>
      </w:r>
    </w:p>
    <w:p>
      <w:pPr>
        <w:pStyle w:val="BodyText"/>
      </w:pPr>
      <w:r>
        <w:t>Fiducial was built over six weeks by one person working with AI agents, through 68 reviewed pull requests, and used on two products: the sensor stick and a private product. On the sensor stick, moving one pin regenerates 8 files in 37 s.</w:t>
      </w:r>
    </w:p>
    <w:p>
      <w:pPr>
        <w:pStyle w:val="BodyText"/>
      </w:pPr>
      <w:r>
        <w:t>Checks are only useful if they catch the mistakes that people and agents actually make. The test borrows the idea of mutation testing [17]: a realistic mistake is introduced on purpose, the checks are run, and the result shows whether they noticed. Twenty mistakes cover eight kinds of drift met while building Fiducial and its products (Table II): ten in a fresh web product in English and Serbian, and ten in the sensor stick’s hardware, firmware and the interface between them. Each was applied to a clean copy, the checks ran as in continuous integration, and the copy was reset. Three correct changes and two runs with no change tested the opposite direction: that the checks do not fail without a reason. The test is a script in the repository, and every failure names the file and the declaration at fault (Fig. 4).</w:t>
      </w:r>
    </w:p>
    <w:p>
      <w:pPr>
        <w:pStyle w:val="BodyText"/>
      </w:pPr>
      <w:r>
        <w:t>On release 0.9.4 the checks caught 15 of the 20, and each of the five misses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 Each became a general rule for every product.</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tablehead"/>
        <w:keepNext/>
      </w:pPr>
      <w:r>
        <w:t>Injected Mistakes, by Kind of Drift</w:t>
      </w:r>
    </w:p>
    <w:tbl>
      <w:tblPr>
        <w:tblW w:type="dxa" w:w="451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0"/>
        <w:gridCol w:w="1780"/>
        <w:gridCol w:w="640"/>
        <w:gridCol w:w="760"/>
      </w:tblGrid>
      <w:tr>
        <w:trPr>
          <w:cantSplit/>
        </w:trPr>
        <w:tc>
          <w:tcPr>
            <w:tcW w:type="dxa" w:w="1330"/>
          </w:tcPr>
          <w:p>
            <w:pPr>
              <w:pStyle w:val="tablecolhead"/>
              <w:keepNext/>
              <w:jc w:val="left"/>
            </w:pPr>
            <w:r>
              <w:t>Kind of drift</w:t>
            </w:r>
          </w:p>
        </w:tc>
        <w:tc>
          <w:tcPr>
            <w:tcW w:type="dxa" w:w="1780"/>
          </w:tcPr>
          <w:p>
            <w:pPr>
              <w:pStyle w:val="tablecolhead"/>
              <w:keepNext/>
              <w:jc w:val="left"/>
            </w:pPr>
            <w:r>
              <w:t>Example</w:t>
            </w:r>
          </w:p>
        </w:tc>
        <w:tc>
          <w:tcPr>
            <w:tcW w:type="dxa" w:w="640"/>
          </w:tcPr>
          <w:p>
            <w:pPr>
              <w:pStyle w:val="tablecolhead"/>
              <w:keepNext/>
              <w:jc w:val="left"/>
            </w:pPr>
            <w:r>
              <w:t>0.9.4</w:t>
            </w:r>
          </w:p>
        </w:tc>
        <w:tc>
          <w:tcPr>
            <w:tcW w:type="dxa" w:w="760"/>
          </w:tcPr>
          <w:p>
            <w:pPr>
              <w:pStyle w:val="tablecolhead"/>
              <w:keepNext/>
              <w:jc w:val="left"/>
            </w:pPr>
            <w:r>
              <w:t>0.9.11</w:t>
            </w:r>
          </w:p>
        </w:tc>
      </w:tr>
      <w:tr>
        <w:trPr>
          <w:cantSplit/>
        </w:trPr>
        <w:tc>
          <w:tcPr>
            <w:tcW w:type="dxa" w:w="1330"/>
          </w:tcPr>
          <w:p>
            <w:pPr>
              <w:pStyle w:val="tablecopy"/>
              <w:keepNext/>
              <w:jc w:val="left"/>
            </w:pPr>
            <w:r>
              <w:t>Stale output</w:t>
            </w:r>
          </w:p>
        </w:tc>
        <w:tc>
          <w:tcPr>
            <w:tcW w:type="dxa" w:w="1780"/>
          </w:tcPr>
          <w:p>
            <w:pPr>
              <w:pStyle w:val="tablecopy"/>
              <w:keepNext/>
              <w:jc w:val="left"/>
            </w:pPr>
            <w:r>
              <w:t>Domain edited, not re-derived</w:t>
            </w:r>
          </w:p>
        </w:tc>
        <w:tc>
          <w:tcPr>
            <w:tcW w:type="dxa" w:w="640"/>
          </w:tcPr>
          <w:p>
            <w:pPr>
              <w:pStyle w:val="tablecopy"/>
              <w:keepNext/>
              <w:jc w:val="left"/>
            </w:pPr>
            <w:r>
              <w:t>1/3</w:t>
            </w:r>
          </w:p>
        </w:tc>
        <w:tc>
          <w:tcPr>
            <w:tcW w:type="dxa" w:w="760"/>
          </w:tcPr>
          <w:p>
            <w:pPr>
              <w:pStyle w:val="tablecopy"/>
              <w:keepNext/>
              <w:jc w:val="left"/>
            </w:pPr>
            <w:r>
              <w:t>3/3</w:t>
            </w:r>
          </w:p>
        </w:tc>
      </w:tr>
      <w:tr>
        <w:trPr>
          <w:cantSplit/>
        </w:trPr>
        <w:tc>
          <w:tcPr>
            <w:tcW w:type="dxa" w:w="1330"/>
          </w:tcPr>
          <w:p>
            <w:pPr>
              <w:pStyle w:val="tablecopy"/>
              <w:keepNext/>
              <w:jc w:val="left"/>
            </w:pPr>
            <w:r>
              <w:t>Generated file edited</w:t>
            </w:r>
          </w:p>
        </w:tc>
        <w:tc>
          <w:tcPr>
            <w:tcW w:type="dxa" w:w="1780"/>
          </w:tcPr>
          <w:p>
            <w:pPr>
              <w:pStyle w:val="tablecopy"/>
              <w:keepNext/>
              <w:jc w:val="left"/>
            </w:pPr>
            <w:r>
              <w:t>Pin map edited by hand</w:t>
            </w:r>
          </w:p>
        </w:tc>
        <w:tc>
          <w:tcPr>
            <w:tcW w:type="dxa" w:w="640"/>
          </w:tcPr>
          <w:p>
            <w:pPr>
              <w:pStyle w:val="tablecopy"/>
              <w:keepNext/>
              <w:jc w:val="left"/>
            </w:pPr>
            <w:r>
              <w:t>5/5</w:t>
            </w:r>
          </w:p>
        </w:tc>
        <w:tc>
          <w:tcPr>
            <w:tcW w:type="dxa" w:w="760"/>
          </w:tcPr>
          <w:p>
            <w:pPr>
              <w:pStyle w:val="tablecopy"/>
              <w:keepNext/>
              <w:jc w:val="left"/>
            </w:pPr>
            <w:r>
              <w:t>5/5</w:t>
            </w:r>
          </w:p>
        </w:tc>
      </w:tr>
      <w:tr>
        <w:trPr>
          <w:cantSplit/>
        </w:trPr>
        <w:tc>
          <w:tcPr>
            <w:tcW w:type="dxa" w:w="1330"/>
          </w:tcPr>
          <w:p>
            <w:pPr>
              <w:pStyle w:val="tablecopy"/>
              <w:keepNext/>
              <w:jc w:val="left"/>
            </w:pPr>
            <w:r>
              <w:t>Missing declaration</w:t>
            </w:r>
          </w:p>
        </w:tc>
        <w:tc>
          <w:tcPr>
            <w:tcW w:type="dxa" w:w="1780"/>
          </w:tcPr>
          <w:p>
            <w:pPr>
              <w:pStyle w:val="tablecopy"/>
              <w:keepNext/>
              <w:jc w:val="left"/>
            </w:pPr>
            <w:r>
              <w:t>String in English only</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Rule broken</w:t>
            </w:r>
          </w:p>
        </w:tc>
        <w:tc>
          <w:tcPr>
            <w:tcW w:type="dxa" w:w="1780"/>
          </w:tcPr>
          <w:p>
            <w:pPr>
              <w:pStyle w:val="tablecopy"/>
              <w:keepNext/>
              <w:jc w:val="left"/>
            </w:pPr>
            <w:r>
              <w:t>Contrast below 4.5 : 1</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Declarations conflict</w:t>
            </w:r>
          </w:p>
        </w:tc>
        <w:tc>
          <w:tcPr>
            <w:tcW w:type="dxa" w:w="1780"/>
          </w:tcPr>
          <w:p>
            <w:pPr>
              <w:pStyle w:val="tablecopy"/>
              <w:keepNext/>
              <w:jc w:val="left"/>
            </w:pPr>
            <w:r>
              <w:t>Case too narrow for board</w:t>
            </w:r>
          </w:p>
        </w:tc>
        <w:tc>
          <w:tcPr>
            <w:tcW w:type="dxa" w:w="640"/>
          </w:tcPr>
          <w:p>
            <w:pPr>
              <w:pStyle w:val="tablecopy"/>
              <w:keepNext/>
              <w:jc w:val="left"/>
            </w:pPr>
            <w:r>
              <w:t>2/2</w:t>
            </w:r>
          </w:p>
        </w:tc>
        <w:tc>
          <w:tcPr>
            <w:tcW w:type="dxa" w:w="760"/>
          </w:tcPr>
          <w:p>
            <w:pPr>
              <w:pStyle w:val="tablecopy"/>
              <w:keepNext/>
              <w:jc w:val="left"/>
            </w:pPr>
            <w:r>
              <w:t>2/2</w:t>
            </w:r>
          </w:p>
        </w:tc>
      </w:tr>
      <w:tr>
        <w:trPr>
          <w:cantSplit/>
        </w:trPr>
        <w:tc>
          <w:tcPr>
            <w:tcW w:type="dxa" w:w="1330"/>
          </w:tcPr>
          <w:p>
            <w:pPr>
              <w:pStyle w:val="tablecopy"/>
              <w:keepNext/>
              <w:jc w:val="left"/>
            </w:pPr>
            <w:r>
              <w:t>Code out of date</w:t>
            </w:r>
          </w:p>
        </w:tc>
        <w:tc>
          <w:tcPr>
            <w:tcW w:type="dxa" w:w="1780"/>
          </w:tcPr>
          <w:p>
            <w:pPr>
              <w:pStyle w:val="tablecopy"/>
              <w:keepNext/>
              <w:jc w:val="left"/>
            </w:pPr>
            <w:r>
              <w:t>Net renamed, old name used</w:t>
            </w:r>
          </w:p>
        </w:tc>
        <w:tc>
          <w:tcPr>
            <w:tcW w:type="dxa" w:w="640"/>
          </w:tcPr>
          <w:p>
            <w:pPr>
              <w:pStyle w:val="tablecopy"/>
              <w:keepNext/>
              <w:jc w:val="left"/>
            </w:pPr>
            <w:r>
              <w:t>1/1</w:t>
            </w:r>
          </w:p>
        </w:tc>
        <w:tc>
          <w:tcPr>
            <w:tcW w:type="dxa" w:w="760"/>
          </w:tcPr>
          <w:p>
            <w:pPr>
              <w:pStyle w:val="tablecopy"/>
              <w:keepNext/>
              <w:jc w:val="left"/>
            </w:pPr>
            <w:r>
              <w:t>1/1</w:t>
            </w:r>
          </w:p>
        </w:tc>
      </w:tr>
      <w:tr>
        <w:trPr>
          <w:cantSplit/>
        </w:trPr>
        <w:tc>
          <w:tcPr>
            <w:tcW w:type="dxa" w:w="1330"/>
          </w:tcPr>
          <w:p>
            <w:pPr>
              <w:pStyle w:val="tablecopy"/>
              <w:keepNext/>
              <w:jc w:val="left"/>
            </w:pPr>
            <w:r>
              <w:t>Declaration bypassed</w:t>
            </w:r>
          </w:p>
        </w:tc>
        <w:tc>
          <w:tcPr>
            <w:tcW w:type="dxa" w:w="1780"/>
          </w:tcPr>
          <w:p>
            <w:pPr>
              <w:pStyle w:val="tablecopy"/>
              <w:keepNext/>
              <w:jc w:val="left"/>
            </w:pPr>
            <w:r>
              <w:t>Pin typed as a number</w:t>
            </w:r>
          </w:p>
        </w:tc>
        <w:tc>
          <w:tcPr>
            <w:tcW w:type="dxa" w:w="640"/>
          </w:tcPr>
          <w:p>
            <w:pPr>
              <w:pStyle w:val="tablecopy"/>
              <w:keepNext/>
              <w:jc w:val="left"/>
            </w:pPr>
            <w:r>
              <w:t>0/2</w:t>
            </w:r>
          </w:p>
        </w:tc>
        <w:tc>
          <w:tcPr>
            <w:tcW w:type="dxa" w:w="760"/>
          </w:tcPr>
          <w:p>
            <w:pPr>
              <w:pStyle w:val="tablecopy"/>
              <w:keepNext/>
              <w:jc w:val="left"/>
            </w:pPr>
            <w:r>
              <w:t>2/2</w:t>
            </w:r>
          </w:p>
        </w:tc>
      </w:tr>
      <w:tr>
        <w:trPr>
          <w:cantSplit/>
        </w:trPr>
        <w:tc>
          <w:tcPr>
            <w:tcW w:type="dxa" w:w="1330"/>
          </w:tcPr>
          <w:p>
            <w:pPr>
              <w:pStyle w:val="tablecopy"/>
              <w:keepNext/>
              <w:jc w:val="left"/>
            </w:pPr>
            <w:r>
              <w:t>Not translated</w:t>
            </w:r>
          </w:p>
        </w:tc>
        <w:tc>
          <w:tcPr>
            <w:tcW w:type="dxa" w:w="1780"/>
          </w:tcPr>
          <w:p>
            <w:pPr>
              <w:pStyle w:val="tablecopy"/>
              <w:keepNext/>
              <w:jc w:val="left"/>
            </w:pPr>
            <w:r>
              <w:t>Serbian left in English</w:t>
            </w:r>
          </w:p>
        </w:tc>
        <w:tc>
          <w:tcPr>
            <w:tcW w:type="dxa" w:w="640"/>
          </w:tcPr>
          <w:p>
            <w:pPr>
              <w:pStyle w:val="tablecopy"/>
              <w:keepNext/>
              <w:jc w:val="left"/>
            </w:pPr>
            <w:r>
              <w:t>0/1</w:t>
            </w:r>
          </w:p>
        </w:tc>
        <w:tc>
          <w:tcPr>
            <w:tcW w:type="dxa" w:w="760"/>
          </w:tcPr>
          <w:p>
            <w:pPr>
              <w:pStyle w:val="tablecopy"/>
              <w:keepNext/>
              <w:jc w:val="left"/>
            </w:pPr>
            <w:r>
              <w:t>1/1</w:t>
            </w:r>
          </w:p>
        </w:tc>
      </w:tr>
      <w:tr>
        <w:trPr>
          <w:cantSplit/>
        </w:trPr>
        <w:tc>
          <w:tcPr>
            <w:tcW w:type="dxa" w:w="1330"/>
          </w:tcPr>
          <w:p>
            <w:pPr>
              <w:pStyle w:val="tablecopy"/>
              <w:jc w:val="left"/>
            </w:pPr>
            <w:r>
              <w:t>Total</w:t>
            </w:r>
          </w:p>
        </w:tc>
        <w:tc>
          <w:tcPr>
            <w:tcW w:type="dxa" w:w="1780"/>
          </w:tcPr>
          <w:p>
            <w:pPr>
              <w:pStyle w:val="tablecopy"/>
              <w:jc w:val="left"/>
            </w:pPr>
            <w:r/>
          </w:p>
        </w:tc>
        <w:tc>
          <w:tcPr>
            <w:tcW w:type="dxa" w:w="640"/>
          </w:tcPr>
          <w:p>
            <w:pPr>
              <w:pStyle w:val="tablecopy"/>
              <w:jc w:val="left"/>
            </w:pPr>
            <w:r>
              <w:t>15/20</w:t>
            </w:r>
          </w:p>
        </w:tc>
        <w:tc>
          <w:tcPr>
            <w:tcW w:type="dxa" w:w="760"/>
          </w:tcPr>
          <w:p>
            <w:pPr>
              <w:pStyle w:val="tablecopy"/>
              <w:jc w:val="left"/>
            </w:pPr>
            <w:r>
              <w:t>20/20</w:t>
            </w:r>
          </w:p>
        </w:tc>
      </w:tr>
    </w:tbl>
    <w:p>
      <w:pPr>
        <w:pStyle w:val="BodyText"/>
      </w:pPr>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937499"/>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3017520" cy="1937499"/>
                    </a:xfrm>
                    <a:prstGeom prst="rect"/>
                  </pic:spPr>
                </pic:pic>
              </a:graphicData>
            </a:graphic>
          </wp:inline>
        </w:drawing>
      </w:r>
    </w:p>
    <w:p>
      <w:pPr>
        <w:pStyle w:val="figurecaption"/>
        <w:keepNext w:val="0"/>
      </w:pPr>
      <w:r>
        <w:t>Two failures as the person or agent sees them: (a) a string added in English only; (b) firmware naming a pin directly instead of taking it from the declaration.</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In practice, it let one person working with AI agents keep a product’s firmware, web page, circuit board and case in agreement, with every injected mistake caught early by a message that names its cause. The next steps are to explore retrieval-augmented generation, so that agents are given the declarations and documentation a task needs rather than whole repositories; to refine the platform by applying it to new products; and to measure and lower the tokens agents spend, reasoning tokens above all. Fiducial and its example are open source [4].</w:t>
      </w:r>
    </w:p>
    <w:p>
      <w:pPr>
        <w:pStyle w:val="Heading5"/>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2026-10-16T07:36:58Z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2026-10-16T07:36:58Z</dcterms:modified>
  <cp:revision>1</cp:revision>
  <dc:subject>IEEESTEC 2026</dc:subject>
  <dc:title>Fiducial: Build Any Robust Multidisciplinary Product with AI Agents</dc:title>
</cp:coreProperties>
</file>