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Keeping Multidisciplinary Products Built with AI Agents Consistent</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7" w:right="907"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software and hardware with AI coding agents. Agents now write each part of a product quickly, but the facts the parts share are still copied between them and drift apart. Fiducial declares every fact once, generates every artifact from it – code, translations, circuit board and enclosure – and checks every change, so the parts stay consistent with each other; whether a declared fact is itself correct remains for the person to judge. Of 20 realistic mistakes, the checks first caught 15, and all 20 once each miss had become a rule. On 20 new mistakes written afterwards they caught 15, where the same project’s ordinary CI caught none.</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and the enclosure. AI coding agents such as Claude Code [1] and Codex [2] are changing that: a firmware driver, a web page or a script that models a case can be written in minutes, so one person can now attempt a whole product.</w:t>
      </w:r>
    </w:p>
    <w:p>
      <w:pPr>
        <w:pStyle w:val="BodyText"/>
      </w:pPr>
      <w:r>
        <w:t>Building such products – first Outreach [3], an off-grid messaging system of radios, gateways, an app and printed cases, and then the platform described here – has shown where the difficulty has moved. Writing each part is no longer the slow step; keeping the parts in agreement is. In Outreach, the firmware and the app disagreed on the layout of a message, and a printed case did not fit its board. Neither part was wrong on its own: a shared fact had been copied by hand, one copy changed, and the mistake appeared only when the parts met (Fig. 1a).</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01338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3017520" cy="1013384"/>
                    </a:xfrm>
                    <a:prstGeom prst="rect"/>
                  </pic:spPr>
                </pic:pic>
              </a:graphicData>
            </a:graphic>
          </wp:inline>
        </w:drawing>
      </w:r>
    </w:p>
    <w:p>
      <w:pPr>
        <w:pStyle w:val="figurecaption"/>
        <w:keepNext w:val="0"/>
      </w:pPr>
      <w:r>
        <w:t>One fact used in four places: (a) copied by hand, one copy changes and nothing notices; (b) declared once, every copy is generated from it and checked.</w:t>
      </w:r>
    </w:p>
    <w:p>
      <w:pPr>
        <w:pStyle w:val="BodyText"/>
      </w:pPr>
      <w:r>
        <w:t>Agents speed this problem up rather than remove it. An agent sees only the codebase it works in, and its output is usually right but never guaranteed; more code, written faster in more disconnected places, gives an inconsistent product sooner.</w:t>
      </w:r>
    </w:p>
    <w:p>
      <w:pPr>
        <w:pStyle w:val="BodyText"/>
      </w:pPr>
      <w:r>
        <w:t>What is missing is one shared and checked context for every discipline: a single place where a product’s facts live, from which every part is produced, and which refuses a change that makes the parts disagree (Fig. 1b). This paper presents Fiducial [4], an open-source platform built to provide it, compares it with existing approaches and with ordinary CI, and tests its checks on mistakes they were not built for.</w:t>
      </w:r>
    </w:p>
    <w:p>
      <w:pPr>
        <w:pStyle w:val="Heading1"/>
        <w:keepNext/>
      </w:pPr>
      <w:r>
        <w:t>Existing Approaches</w:t>
      </w:r>
    </w:p>
    <w:p>
      <w:pPr>
        <w:pStyle w:val="BodyText"/>
      </w:pPr>
      <w:r>
        <w:t>Several kinds of tool address parts of this problem; each keeps one kind of fact, or one pair of disciplines, in agreement, but not the product as a whole (Table I).</w:t>
      </w:r>
    </w:p>
    <w:p>
      <w:pPr>
        <w:pStyle w:val="BodyText"/>
      </w:pPr>
      <w:r>
        <w:t>Model-driven and model-based systems engineering keep a design in one central model and generate or check other views from it [5], [6], in languages such as SysML [7], with methods for managing inconsistencies between views [8], [9]. They are the closest in spirit, but the model lives in a specialised graphical tool, code is still written by hand beside it, and an agent cannot easily work in it. Engineering suites instead link two tools, such as a circuit board and its mechanical model [10]; the firmware, the app and the translations stay outside.</w:t>
      </w:r>
    </w:p>
    <w:p>
      <w:pPr>
        <w:pStyle w:val="BodyText"/>
      </w:pPr>
      <w:r>
        <w:t>Design-as-code tools write hardware as text – a circuit in atopile [11], a case in build123d [12] – which makes it writable by an agent, but each covers one discipline: Fiducial’s first design planned to use atopile and found that the case, the layout and the cost would still copy the board’s facts. Interface languages such as Protocol Buffers [13] declare a message once for both sides, which removes the drift met in Outreach, but only for messages.</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 CI</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Build systems such as Bazel [14] and Nix [15] rebuild exactly what changed, identifying results by fingerprints of their inputs. They make sure outputs follow from files, not that files agree with each other: the same fact typed into two files builds without complaint, in them and in a CI pipeline built on them.</w:t>
      </w:r>
    </w:p>
    <w:p>
      <w:pPr>
        <w:pStyle w:val="BodyText"/>
      </w:pPr>
      <w:r>
        <w:t>Coding agents follow context files such as AGENTS.md [16], which describe a repository’s rules but do not enforce them, and the code they write is often plausible but wrong. Stricter tests find errors in programs that benchmark tests [17] had passed [18], about 40 % of the programs in one security study were vulnerable [19], and most real repository issues remain unsolved [20]. Models also cannot reliably correct their own reasoning without an outside signal [21]. A known answer is to pair a generator that can be wrong with a checker that cannot [22], but no existing checker spans a whole product.</w:t>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facts and artifacts. Facts are the decisions that define it: which pin a sensor uses, what a button says in each language, the size of the board, the layout of a message. Artifacts are everything built from them: code, schematics, boards, translations, enclosure models. Drift is when an artifact stops agreeing with a fact, or with another artifact that uses it (Fig. 1a). Three rules keep drift out (Fig. 1b).</w:t>
      </w:r>
    </w:p>
    <w:p>
      <w:pPr>
        <w:pStyle w:val="BodyText"/>
      </w:pPr>
      <w:r>
        <w:t>Declare once. Every fact is written in exactly one place, a declaration: a typed text file in the repository, with a structure a program can check. A fact that exists once has no second copy to disagree with.</w:t>
      </w:r>
    </w:p>
    <w:p>
      <w:pPr>
        <w:pStyle w:val="BodyText"/>
      </w:pPr>
      <w:r>
        <w:t>Derive everything else. Every artifact that depends on a fact is generated from its declaration by one command and never edited by hand. Generation is deterministic, so the product is reproducible and any difference is meaningful.</w:t>
      </w:r>
    </w:p>
    <w:p>
      <w:pPr>
        <w:pStyle w:val="BodyText"/>
      </w:pPr>
      <w:r>
        <w:t>Check every change. Before a change is accepted, checks confirm that every artifact still matches what its declarations produce and that the declarations are valid; a failure names the declaration and the file at fault.</w:t>
      </w:r>
    </w:p>
    <w:p>
      <w:pPr>
        <w:pStyle w:val="BodyText"/>
      </w:pPr>
      <w:r>
        <w:t>The rules check agreement, not truth. A fact declared wrongly – the wrong sensor address, a resistor of the wrong value – is copied faithfully into every artifact, and the product is then consistently wrong. Some such values break a rule and are refused, such as two colours with too little contrast or a resistor that puts a voltage outside its window, but whether a declaration is right is still decided by the person, the datasheet and the bench.</w:t>
      </w:r>
    </w:p>
    <w:p>
      <w:pPr>
        <w:pStyle w:val="BodyText"/>
      </w:pPr>
      <w:r>
        <w:t>These rules change the role of an AI agent: it still edits declarations and code, but it is no longer trusted to keep anything consistent. Its mistakes are not prevented, but many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built over six weeks by one person working with AI agents. Fig. 2 shows how a change moves through its parts.</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fid upgrade brings platform improvements into each product while keeping its own edits.</w:t>
      </w:r>
    </w:p>
    <w:p>
      <w:pPr>
        <w:pStyle w:val="Heading2"/>
        <w:keepNext/>
      </w:pPr>
      <w:r>
        <w:t>One Typed Language Underneath</w:t>
      </w:r>
    </w:p>
    <w:p>
      <w:pPr>
        <w:pStyle w:val="BodyText"/>
      </w:pPr>
      <w:r>
        <w:t>The platform, and the code products share through it, is written in Rust, a compiled language with a strict type system. The choice follows from the approach: every mistake the compiler refuses is one the checks never have to catch, and it is refused before anything runs, with a message naming the file and line – the signal an agent needs. Rust also needs no runtime or garbage collector, so one body of code can run wherever a product does. Its core is written without the standard library: the same message format, identifiers and typed physical quantities compile into a microcontroller’s firmware, into the fid tool, and to WebAssembly, which runs them in the browser and on edge servers. The TypeScript types the web code uses are generated from the Rust ones, never written by hand, so the boundary between the two languages is not kept in step by hand either. TypeScript is used for interfaces, and Python only at build time, to drive the engines.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[23].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[24], is given the rules a placement must satisfy and finds one that does, or proves none exists; build123d [12] builds the case; KiCad routes and checks the board. Every placement rule is one of eight general kinds, such as inside, apart or near, so a new product needs new declarations rather than new code.</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870862"/>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3017520" cy="1870862"/>
                    </a:xfrm>
                    <a:prstGeom prst="rect"/>
                  </pic:spPr>
                </pic:pic>
              </a:graphicData>
            </a:graphic>
          </wp:inline>
        </w:drawing>
      </w:r>
    </w:p>
    <w:p>
      <w:pPr>
        <w:pStyle w:val="figurecaption"/>
        <w:keepNext w:val="0"/>
      </w:pPr>
      <w:r>
        <w:t>How a change moves through Fiducial: declarations are edited, generation produces the artifacts with the help of established engines, and the checks either accept the change or return a message naming the declaration at fault.</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372978"/>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3017520" cy="1372978"/>
                    </a:xfrm>
                    <a:prstGeom prst="rect"/>
                  </pic:spPr>
                </pic:pic>
              </a:graphicData>
            </a:graphic>
          </wp:inline>
        </w:drawing>
      </w:r>
    </w:p>
    <w:p>
      <w:pPr>
        <w:pStyle w:val="figurecaption"/>
        <w:keepNext w:val="0"/>
      </w:pPr>
      <w:r>
        <w:t>The sensor stick, generated from its declaration: (a) the closed case; (b) the routed board inside it, with the sensor under its vent.</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a USB-C stick that measures temperature and humidity and shows them on a web page (Fig. 3), with a printed case, a circuit board, Rust firmware and a browser page. The person writes the product declaration, an outline of its shape, the firmware’s logic and the page; the routed board with its schematic and bill of materials, the case, the manufacturing files and the code both sides use to exchange readings are generated. Moving the sensor to another pin is one changed line: the check fails until the product is regenerated, after which the board, the firmware’s pin map and the page’s types have all followed with no other edit, and a pin the chip’s sensor bus cannot use stops the firmware compiling.</w:t>
      </w:r>
    </w:p>
    <w:p>
      <w:pPr>
        <w:pStyle w:val="Heading1"/>
        <w:keepNext/>
      </w:pPr>
      <w:r>
        <w:t>Evaluation</w:t>
      </w:r>
    </w:p>
    <w:p>
      <w:pPr>
        <w:pStyle w:val="BodyText"/>
      </w:pPr>
      <w:r>
        <w:t>Checks are only useful if they catch the mistakes that people and agents actually make. The test borrows the idea of mutation testing [25]: a realistic mistake is introduced on purpose, the checks are run, and the result shows whether they noticed. Each mistake was applied to a clean copy of one of two products – a fresh web product in English and Serbian, and the sensor stick – the checks ran as in continuous integration, and the copy was reset. Two sets were used. The first 20 mistakes cover eight kinds of drift met while building Fiducial: stale outputs, hand-edited generated files, incomplete or conflicting declarations, broken rules, code using an old name, values typed past their declaration, and text left untranslated. They were also used to improve the platform. The second 20 are held out: written after release 0.9.11 was fixed, committed before their first run, and reported without any change made for them. As a baseline, both sets also ran through ordinary CI alone – the same compilers, type checkers and tests, with Fiducial’s own two steps removed. Three correct changes and two runs with no change tested the opposite direction: that the checks do not fail without a reason. Table II gives the results.</w:t>
      </w:r>
    </w:p>
    <w:p>
      <w:pPr>
        <w:pStyle w:val="tablehead"/>
        <w:keepNext/>
      </w:pPr>
      <w:r>
        <w:t>Injected Mistakes Caught</w:t>
      </w:r>
    </w:p>
    <w:tbl>
      <w:tblPr>
        <w:tblW w:type="dxa" w:w="466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0"/>
        <w:gridCol w:w="1000"/>
        <w:gridCol w:w="1000"/>
        <w:gridCol w:w="1000"/>
      </w:tblGrid>
      <w:tr>
        <w:trPr>
          <w:cantSplit/>
        </w:trPr>
        <w:tc>
          <w:tcPr>
            <w:tcW w:type="dxa" w:w="1660"/>
          </w:tcPr>
          <w:p>
            <w:pPr>
              <w:pStyle w:val="tablecolhead"/>
              <w:keepNext/>
              <w:jc w:val="left"/>
            </w:pPr>
            <w:r>
              <w:t>Mistakes</w:t>
            </w:r>
          </w:p>
        </w:tc>
        <w:tc>
          <w:tcPr>
            <w:tcW w:type="dxa" w:w="1000"/>
          </w:tcPr>
          <w:p>
            <w:pPr>
              <w:pStyle w:val="tablecolhead"/>
              <w:keepNext/>
              <w:jc w:val="left"/>
            </w:pPr>
            <w:r>
              <w:t>Ordinary CI</w:t>
            </w:r>
          </w:p>
        </w:tc>
        <w:tc>
          <w:tcPr>
            <w:tcW w:type="dxa" w:w="1000"/>
          </w:tcPr>
          <w:p>
            <w:pPr>
              <w:pStyle w:val="tablecolhead"/>
              <w:keepNext/>
              <w:jc w:val="left"/>
            </w:pPr>
            <w:r>
              <w:t>Fiducial 0.9.4</w:t>
            </w:r>
          </w:p>
        </w:tc>
        <w:tc>
          <w:tcPr>
            <w:tcW w:type="dxa" w:w="1000"/>
          </w:tcPr>
          <w:p>
            <w:pPr>
              <w:pStyle w:val="tablecolhead"/>
              <w:keepNext/>
              <w:jc w:val="left"/>
            </w:pPr>
            <w:r>
              <w:t>Fiducial 0.9.11</w:t>
            </w:r>
          </w:p>
        </w:tc>
      </w:tr>
      <w:tr>
        <w:trPr>
          <w:cantSplit/>
        </w:trPr>
        <w:tc>
          <w:tcPr>
            <w:tcW w:type="dxa" w:w="1660"/>
          </w:tcPr>
          <w:p>
            <w:pPr>
              <w:pStyle w:val="tablecopy"/>
              <w:keepNext/>
              <w:jc w:val="left"/>
            </w:pPr>
            <w:r>
              <w:t>First set, used to improve</w:t>
            </w:r>
          </w:p>
        </w:tc>
        <w:tc>
          <w:tcPr>
            <w:tcW w:type="dxa" w:w="1000"/>
          </w:tcPr>
          <w:p>
            <w:pPr>
              <w:pStyle w:val="tablecopy"/>
              <w:keepNext/>
              <w:jc w:val="left"/>
            </w:pPr>
            <w:r>
              <w:t>1/20</w:t>
            </w:r>
          </w:p>
        </w:tc>
        <w:tc>
          <w:tcPr>
            <w:tcW w:type="dxa" w:w="1000"/>
          </w:tcPr>
          <w:p>
            <w:pPr>
              <w:pStyle w:val="tablecopy"/>
              <w:keepNext/>
              <w:jc w:val="left"/>
            </w:pPr>
            <w:r>
              <w:t>15/20</w:t>
            </w:r>
          </w:p>
        </w:tc>
        <w:tc>
          <w:tcPr>
            <w:tcW w:type="dxa" w:w="1000"/>
          </w:tcPr>
          <w:p>
            <w:pPr>
              <w:pStyle w:val="tablecopy"/>
              <w:keepNext/>
              <w:jc w:val="left"/>
            </w:pPr>
            <w:r>
              <w:t>20/20</w:t>
            </w:r>
          </w:p>
        </w:tc>
      </w:tr>
      <w:tr>
        <w:trPr>
          <w:cantSplit/>
        </w:trPr>
        <w:tc>
          <w:tcPr>
            <w:tcW w:type="dxa" w:w="1660"/>
          </w:tcPr>
          <w:p>
            <w:pPr>
              <w:pStyle w:val="tablecopy"/>
              <w:keepNext/>
              <w:jc w:val="left"/>
            </w:pPr>
            <w:r>
              <w:t>Held-out set</w:t>
            </w:r>
          </w:p>
        </w:tc>
        <w:tc>
          <w:tcPr>
            <w:tcW w:type="dxa" w:w="1000"/>
          </w:tcPr>
          <w:p>
            <w:pPr>
              <w:pStyle w:val="tablecopy"/>
              <w:keepNext/>
              <w:jc w:val="left"/>
            </w:pPr>
            <w:r>
              <w:t>0/20</w:t>
            </w:r>
          </w:p>
        </w:tc>
        <w:tc>
          <w:tcPr>
            <w:tcW w:type="dxa" w:w="1000"/>
          </w:tcPr>
          <w:p>
            <w:pPr>
              <w:pStyle w:val="tablecopy"/>
              <w:keepNext/>
              <w:jc w:val="left"/>
            </w:pPr>
            <w:r>
              <w:t>–</w:t>
            </w:r>
          </w:p>
        </w:tc>
        <w:tc>
          <w:tcPr>
            <w:tcW w:type="dxa" w:w="1000"/>
          </w:tcPr>
          <w:p>
            <w:pPr>
              <w:pStyle w:val="tablecopy"/>
              <w:keepNext/>
              <w:jc w:val="left"/>
            </w:pPr>
            <w:r>
              <w:t>15/20</w:t>
            </w:r>
          </w:p>
        </w:tc>
      </w:tr>
      <w:tr>
        <w:trPr>
          <w:cantSplit/>
        </w:trPr>
        <w:tc>
          <w:tcPr>
            <w:tcW w:type="dxa" w:w="1660"/>
          </w:tcPr>
          <w:p>
            <w:pPr>
              <w:pStyle w:val="tablecopy"/>
              <w:jc w:val="left"/>
            </w:pPr>
            <w:r>
              <w:t>Correct changes passed</w:t>
            </w:r>
          </w:p>
        </w:tc>
        <w:tc>
          <w:tcPr>
            <w:tcW w:type="dxa" w:w="1000"/>
          </w:tcPr>
          <w:p>
            <w:pPr>
              <w:pStyle w:val="tablecopy"/>
              <w:jc w:val="left"/>
            </w:pPr>
            <w:r>
              <w:t>5/5</w:t>
            </w:r>
          </w:p>
        </w:tc>
        <w:tc>
          <w:tcPr>
            <w:tcW w:type="dxa" w:w="1000"/>
          </w:tcPr>
          <w:p>
            <w:pPr>
              <w:pStyle w:val="tablecopy"/>
              <w:jc w:val="left"/>
            </w:pPr>
            <w:r>
              <w:t>5/5</w:t>
            </w:r>
          </w:p>
        </w:tc>
        <w:tc>
          <w:tcPr>
            <w:tcW w:type="dxa" w:w="1000"/>
          </w:tcPr>
          <w:p>
            <w:pPr>
              <w:pStyle w:val="tablecopy"/>
              <w:jc w:val="left"/>
            </w:pPr>
            <w:r>
              <w:t>5/5</w:t>
            </w:r>
          </w:p>
        </w:tc>
      </w:tr>
    </w:tbl>
    <w:p>
      <w:pPr>
        <w:pStyle w:val="BodyText"/>
      </w:pPr>
      <w:r/>
    </w:p>
    <w:p>
      <w:pPr>
        <w:pStyle w:val="BodyText"/>
      </w:pPr>
      <w:r>
        <w:t>On release 0.9.4 the checks caught 15 of the first 20. Each miss was a fact the platform did not yet own: two declarations edited without regenerating went unnoticed because only the hardware generator recorded which files it read; in two, the firmware wrote a pin number or a sensor address directly; and a Serbian string left in English passed every structural check. Each became a general rule, and release 0.9.11 catches all 20, each with a message naming the declaration at fault. That result is on mistakes the platform was improved against: it shows the rules work, not that they generalise.</w:t>
      </w:r>
    </w:p>
    <w:p>
      <w:pPr>
        <w:pStyle w:val="BodyText"/>
      </w:pPr>
      <w:r>
        <w:t>The held-out set measures that. The checks caught 15 of the 20 new mistakes. They missed a page declared twice, a post dated a month that does not exist, a board made thicker, a sensor wait typed as a number and a page comparing humidity to its band by hand; the last two have rules, but only for narrower patterns. Ordinary CI caught one of the first 20 – a firmware test noticed a swapped message layout – and none of the held-out set, because nothing in it compares one artifact with another. Every correct change passed under both.</w:t>
      </w:r>
    </w:p>
    <w:p>
      <w:pPr>
        <w:pStyle w:val="BodyText"/>
      </w:pPr>
      <w:r>
        <w:t>Both sets, and the script that runs them, are in the repository. Both were written by the author of the platform, so even the held-out one may favour what it was built to catch; a set written by others would be stronger. Only two products have been built, neither yet manufactured and tested, and the test measures the checks, not whether agents make fewer mistakes with Fiducial than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it keeps the parts consistent with each other, while whether each declared fact is true remains the person’s to judge. On the mistakes it was improved against, its checks went from 15 to 20 of 20; on 20 new ones they caught 15, where ordinary CI caught none, each with a message that names the cause. The next steps are to test it on mistakes written by others; to explore retrieval-augmented generation, so that agents are given the declarations and documentation a task needs rather than whole repositories; to refine the platform by applying it to new products; and to measure and lower the tokens agents spend, reasoning tokens above all. Fiducial and its example are open source [4].</w:t>
      </w:r>
    </w:p>
    <w:p>
      <w:pPr>
        <w:pStyle w:val="Heading5"/>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M. Brambilla, J. Cabot and M. Wimmer, Model-Driven Software Engineering in Practice, 2nd ed. Morgan &amp; Claypool, 2017.</w:t>
      </w:r>
    </w:p>
    <w:p>
      <w:pPr>
        <w:pStyle w:val="references"/>
      </w:pPr>
      <w:r>
        <w:t>S. Friedenthal, A. Moore and R. Steiner, A Practical Guide to SysML, 3rd ed. Morgan Kaufmann, 2014.</w:t>
      </w:r>
    </w:p>
    <w:p>
      <w:pPr>
        <w:pStyle w:val="references"/>
      </w:pPr>
      <w:r>
        <w:t>B. Nuseibeh, S. Easterbrook and A. Russo, “Leveraging inconsistency in software development,” Computer, vol. 33, no. 4, pp. 24–29, 2000.</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M. Chen et al., “Evaluating large language models trained on code,” arXiv:2107.03374, 2021.</w:t>
      </w:r>
    </w:p>
    <w:p>
      <w:pPr>
        <w:pStyle w:val="references"/>
      </w:pPr>
      <w:r>
        <w:t>J. Liu, C. S. Xia, Y. Wang and L. Zhang, “Is your code generated by ChatGPT really correct? Rigorous evaluation of large language models for code generation,” in Proc. NeurIPS, 2023.</w:t>
      </w:r>
    </w:p>
    <w:p>
      <w:pPr>
        <w:pStyle w:val="references"/>
      </w:pPr>
      <w:r>
        <w:t>H. Pearce, B. Ahmad, B. Tan, B. Dolan-Gavitt and R. Karri, “Asleep at the keyboard? Assessing the security of GitHub Copilot’s code contributions,” in Proc. IEEE S&amp;P, 2022, pp. 754–768.</w:t>
      </w:r>
    </w:p>
    <w:p>
      <w:pPr>
        <w:pStyle w:val="references"/>
      </w:pPr>
      <w:r>
        <w:t>C. E. Jimenez et al., “SWE-bench: Can language models resolve real-world GitHub issues?,” in Proc. ICLR, 2024.</w:t>
      </w:r>
    </w:p>
    <w:p>
      <w:pPr>
        <w:pStyle w:val="references"/>
      </w:pPr>
      <w:r>
        <w:t>J. Huang et al., “Large language models cannot self-correct reasoning yet,” in Proc. ICLR, 2024.</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2026-10-28T10:25:04Z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2026-10-28T10:25:04Z</dcterms:modified>
  <cp:revision>1</cp:revision>
  <dc:subject>IEEESTEC 2026</dc:subject>
  <dc:title>Fiducial: Keeping Multidisciplinary Products Built with AI Agents Consistent</dc:title>
</cp:coreProperties>
</file>