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Духанин 3ИП-12-24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highlight w:val="white"/>
          <w:rtl w:val="0"/>
        </w:rPr>
        <w:t xml:space="preserve">CLIENT — SALE: «Один клиент может совершить ноль или много покупок. Каждая продажа оформляется ровно на одного клиента».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highlight w:val="white"/>
          <w:rtl w:val="0"/>
        </w:rPr>
        <w:t xml:space="preserve">На диаграмме: CLIENT ||--o{ SALE.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highlight w:val="white"/>
          <w:rtl w:val="0"/>
        </w:rPr>
        <w:t xml:space="preserve">6) Между CAR и CLIENT могла бы быть M:N, но она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highlight w:val="white"/>
          <w:rtl w:val="0"/>
        </w:rPr>
        <w:t xml:space="preserve">уже разбита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highlight w:val="white"/>
          <w:rtl w:val="0"/>
        </w:rPr>
        <w:t xml:space="preserve"> через промежуточную сущность SALE на две 1:N: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5.98362147406735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CAR ||--o{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5.98362147406735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CLIENT ||--o{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highlight w:val="white"/>
          <w:rtl w:val="0"/>
        </w:rPr>
        <w:t xml:space="preserve">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highlight w:val="white"/>
          <w:rtl w:val="0"/>
        </w:rPr>
        <w:t xml:space="preserve">6. NULL / NOT NULL </w:t>
      </w:r>
    </w:p>
    <w:tbl>
      <w:tblPr>
        <w:tblStyle w:val="Table1"/>
        <w:tblW w:w="4745.0" w:type="dxa"/>
        <w:jc w:val="left"/>
        <w:tblInd w:w="7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1396"/>
        <w:gridCol w:w="1533"/>
        <w:gridCol w:w="1816"/>
        <w:tblGridChange w:id="0">
          <w:tblGrid>
            <w:gridCol w:w="1396"/>
            <w:gridCol w:w="1533"/>
            <w:gridCol w:w="18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NULL?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BRAND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brand_id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 (PK)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BRAND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brand_name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BRAND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country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car_id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 (PK)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model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year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price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brand_id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 (FK)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CLIENT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client_id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 (PK)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CLIENT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full_name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CLIENT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phone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CLIENT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email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EMPLOYEE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employee_id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 (PK)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EMPLOYEE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full_name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EMPLOYEE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position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EMPLOYEE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phone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SALE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sale_id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 (PK)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SALE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sale_date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SALE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amount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SALE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car_id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 (FK)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SALE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client_id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 (FK)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SALE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employee_id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26842584167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NOT NULL (FK)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-7.0" w:type="dxa"/>
        <w:bottom w:w="15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