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0A59D" w14:textId="77777777" w:rsidR="00121C99" w:rsidRPr="00BB2CDF" w:rsidRDefault="00121C99" w:rsidP="00ED5763">
      <w:pPr>
        <w:spacing w:after="0" w:line="240" w:lineRule="auto"/>
        <w:contextualSpacing/>
        <w:rPr>
          <w:sz w:val="20"/>
          <w:szCs w:val="20"/>
        </w:rPr>
      </w:pPr>
    </w:p>
    <w:p w14:paraId="795E1B53" w14:textId="77777777" w:rsidR="00C95FC1" w:rsidRDefault="00000000" w:rsidP="00C95FC1">
      <w:pPr>
        <w:spacing w:after="0" w:line="240" w:lineRule="auto"/>
        <w:contextualSpacing/>
      </w:pPr>
      <w:fldSimple w:instr=" MERGEFIELD &quot;Todays_Date_MMMM_DD_YYYY&quot; ">
        <w:r w:rsidR="0028014E">
          <w:rPr>
            <w:noProof/>
          </w:rPr>
          <w:t>«Todays_Date_MMMM_DD_YYYY»</w:t>
        </w:r>
      </w:fldSimple>
    </w:p>
    <w:p w14:paraId="2A4B2E33" w14:textId="77777777" w:rsidR="00C95FC1" w:rsidRDefault="00C95FC1" w:rsidP="00C95FC1">
      <w:pPr>
        <w:spacing w:after="0" w:line="140" w:lineRule="exact"/>
        <w:contextualSpacing/>
        <w:rPr>
          <w:sz w:val="20"/>
          <w:szCs w:val="20"/>
        </w:rPr>
      </w:pPr>
    </w:p>
    <w:p w14:paraId="21381580" w14:textId="77777777" w:rsidR="00C95FC1" w:rsidRDefault="0028014E" w:rsidP="00C95FC1">
      <w:pPr>
        <w:spacing w:after="0" w:line="240" w:lineRule="auto"/>
        <w:contextualSpacing/>
      </w:pPr>
      <w:fldSimple w:instr=" MERGEFIELD &quot;Account_Address_Block&quot; ">
        <w:r>
          <w:rPr>
            <w:noProof/>
          </w:rPr>
          <w:t>«Account_Address_Block»</w:t>
        </w:r>
      </w:fldSimple>
    </w:p>
    <w:p w14:paraId="7F9D8119" w14:textId="77777777" w:rsidR="00C95FC1" w:rsidRDefault="00C95FC1" w:rsidP="00C95FC1">
      <w:pPr>
        <w:spacing w:after="0" w:line="240" w:lineRule="auto"/>
        <w:contextualSpacing/>
      </w:pPr>
      <w:r>
        <w:t xml:space="preserve">File No. </w:t>
      </w:r>
      <w:fldSimple w:instr=" MERGEFIELD &quot;Account_Number&quot; ">
        <w:r w:rsidR="0028014E">
          <w:rPr>
            <w:noProof/>
          </w:rPr>
          <w:t>«Account_Number»</w:t>
        </w:r>
      </w:fldSimple>
    </w:p>
    <w:p w14:paraId="586EA5B9" w14:textId="77777777" w:rsidR="00C95FC1" w:rsidRDefault="00C95FC1" w:rsidP="00C95FC1">
      <w:pPr>
        <w:spacing w:after="0" w:line="240" w:lineRule="auto"/>
        <w:contextualSpacing/>
        <w:rPr>
          <w:noProof/>
        </w:rPr>
      </w:pPr>
      <w:r>
        <w:t xml:space="preserve">Creditor: </w:t>
      </w:r>
      <w:fldSimple w:instr=" MERGEFIELD &quot;CliFile_Name&quot; ">
        <w:r w:rsidR="0028014E">
          <w:rPr>
            <w:noProof/>
          </w:rPr>
          <w:t>«CliFile_Name»</w:t>
        </w:r>
      </w:fldSimple>
    </w:p>
    <w:p w14:paraId="27D89DF9" w14:textId="77777777" w:rsidR="00C95FC1" w:rsidRDefault="00C95FC1" w:rsidP="00C95FC1">
      <w:pPr>
        <w:spacing w:after="0" w:line="240" w:lineRule="auto"/>
        <w:contextualSpacing/>
        <w:rPr>
          <w:noProof/>
        </w:rPr>
      </w:pPr>
      <w:r>
        <w:rPr>
          <w:noProof/>
        </w:rPr>
        <w:t xml:space="preserve">Debtor: </w:t>
      </w:r>
      <w:fldSimple w:instr=" MERGEFIELD &quot;Account_Name_Firstname_First&quot; ">
        <w:r w:rsidR="0028014E">
          <w:rPr>
            <w:noProof/>
          </w:rPr>
          <w:t>«Account_Name_Firstname_First»</w:t>
        </w:r>
      </w:fldSimple>
    </w:p>
    <w:p w14:paraId="3C312549" w14:textId="77777777" w:rsidR="00C95FC1" w:rsidRDefault="00C95FC1" w:rsidP="00C95FC1">
      <w:pPr>
        <w:spacing w:after="0" w:line="240" w:lineRule="auto"/>
        <w:contextualSpacing/>
        <w:rPr>
          <w:bCs/>
        </w:rPr>
      </w:pPr>
      <w:r>
        <w:t xml:space="preserve">Pro No. </w:t>
      </w:r>
      <w:r>
        <w:rPr>
          <w:bCs/>
        </w:rPr>
        <w:fldChar w:fldCharType="begin"/>
      </w:r>
      <w:r>
        <w:rPr>
          <w:bCs/>
        </w:rPr>
        <w:instrText xml:space="preserve"> MERGEFIELD "Client_Ref_Num" </w:instrText>
      </w:r>
      <w:r>
        <w:rPr>
          <w:bCs/>
        </w:rPr>
        <w:fldChar w:fldCharType="separate"/>
      </w:r>
      <w:r w:rsidR="0028014E">
        <w:rPr>
          <w:bCs/>
          <w:noProof/>
        </w:rPr>
        <w:t>«Client_Ref_Num»</w:t>
      </w:r>
      <w:r>
        <w:rPr>
          <w:bCs/>
        </w:rPr>
        <w:fldChar w:fldCharType="end"/>
      </w:r>
    </w:p>
    <w:p w14:paraId="44703477" w14:textId="77777777" w:rsidR="00C95FC1" w:rsidRDefault="00C95FC1" w:rsidP="00C95FC1">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28014E">
        <w:rPr>
          <w:noProof/>
          <w:u w:val="single"/>
        </w:rPr>
        <w:t>«Actual_Total_Jmt_NonJmt_Owing»</w:t>
      </w:r>
      <w:r>
        <w:rPr>
          <w:u w:val="single"/>
        </w:rPr>
        <w:fldChar w:fldCharType="end"/>
      </w:r>
    </w:p>
    <w:p w14:paraId="1F9995FE" w14:textId="77777777" w:rsidR="00C5018F" w:rsidRDefault="00C5018F" w:rsidP="00F508EB">
      <w:pPr>
        <w:spacing w:after="0" w:line="160" w:lineRule="exact"/>
        <w:contextualSpacing/>
        <w:rPr>
          <w:sz w:val="20"/>
          <w:szCs w:val="20"/>
        </w:rPr>
      </w:pPr>
    </w:p>
    <w:p w14:paraId="621C062A" w14:textId="77777777" w:rsidR="007766F3" w:rsidRPr="009E45AA" w:rsidRDefault="007766F3" w:rsidP="00F508EB">
      <w:pPr>
        <w:spacing w:after="0" w:line="160" w:lineRule="exact"/>
        <w:contextualSpacing/>
        <w:rPr>
          <w:sz w:val="20"/>
          <w:szCs w:val="20"/>
        </w:rPr>
      </w:pPr>
    </w:p>
    <w:p w14:paraId="682571BE" w14:textId="77777777" w:rsidR="00C95FC1" w:rsidRDefault="00C95FC1" w:rsidP="00C95FC1">
      <w:pPr>
        <w:spacing w:after="0" w:line="240" w:lineRule="exact"/>
        <w:contextualSpacing/>
        <w:jc w:val="both"/>
        <w:rPr>
          <w:noProof/>
        </w:rPr>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28014E">
        <w:rPr>
          <w:noProof/>
        </w:rPr>
        <w:t>«CliFile_Name»</w:t>
      </w:r>
      <w:r>
        <w:rPr>
          <w:noProof/>
        </w:rPr>
        <w:fldChar w:fldCharType="end"/>
      </w:r>
      <w:r>
        <w:rPr>
          <w:noProof/>
        </w:rPr>
        <w:t xml:space="preserve"> </w:t>
      </w:r>
      <w:r>
        <w:t>("</w:t>
      </w:r>
      <w:fldSimple w:instr=" MERGEFIELD &quot;Client_Short_Name&quot; ">
        <w:r w:rsidR="0028014E">
          <w:rPr>
            <w:noProof/>
          </w:rPr>
          <w:t>«Client_Short_Name»</w:t>
        </w:r>
      </w:fldSimple>
      <w:r>
        <w:t xml:space="preserve">") with respect to unpaid freight charges.  </w:t>
      </w:r>
      <w:fldSimple w:instr=" MERGEFIELD &quot;Client_Short_Name&quot; ">
        <w:r w:rsidR="0028014E">
          <w:rPr>
            <w:noProof/>
          </w:rPr>
          <w:t>«Client_Short_Name»</w:t>
        </w:r>
      </w:fldSimple>
      <w:r>
        <w:rPr>
          <w:noProof/>
        </w:rPr>
        <w:t xml:space="preserve">, </w:t>
      </w:r>
      <w:r>
        <w:t>the Carrier</w:t>
      </w:r>
      <w:r>
        <w:rPr>
          <w:noProof/>
        </w:rPr>
        <w:t xml:space="preserve">, was not paid by </w:t>
      </w:r>
      <w:fldSimple w:instr=" MERGEFIELD &quot;Special_Field1&quot; ">
        <w:r w:rsidR="0028014E">
          <w:rPr>
            <w:noProof/>
          </w:rPr>
          <w:t>«Special_Field1»</w:t>
        </w:r>
      </w:fldSimple>
      <w:r>
        <w:rPr>
          <w:noProof/>
        </w:rPr>
        <w:t>, the</w:t>
      </w:r>
      <w:r>
        <w:t xml:space="preserve"> original bill-to party</w:t>
      </w:r>
      <w:r>
        <w:rPr>
          <w:noProof/>
        </w:rPr>
        <w:t xml:space="preserve">, for the </w:t>
      </w:r>
      <w:r>
        <w:rPr>
          <w:noProof/>
        </w:rPr>
        <w:fldChar w:fldCharType="begin"/>
      </w:r>
      <w:r>
        <w:rPr>
          <w:noProof/>
        </w:rPr>
        <w:instrText xml:space="preserve"> MERGEFIELD "Actual_Total_Jmt_NonJmt_Owing" \# $#,##0.00</w:instrText>
      </w:r>
      <w:r>
        <w:rPr>
          <w:noProof/>
        </w:rPr>
        <w:fldChar w:fldCharType="separate"/>
      </w:r>
      <w:r w:rsidR="0028014E">
        <w:rPr>
          <w:noProof/>
        </w:rPr>
        <w:t>«Actual_Total_Jmt_NonJmt_Owing»</w:t>
      </w:r>
      <w:r>
        <w:rPr>
          <w:noProof/>
        </w:rPr>
        <w:fldChar w:fldCharType="end"/>
      </w:r>
      <w:r>
        <w:rPr>
          <w:noProof/>
        </w:rPr>
        <w:t xml:space="preserve"> of transportation services rendered, which are memorialized by the documents attached hereto and made a</w:t>
      </w:r>
      <w:r w:rsidR="00681102">
        <w:rPr>
          <w:noProof/>
        </w:rPr>
        <w:t xml:space="preserve"> </w:t>
      </w:r>
      <w:r>
        <w:rPr>
          <w:noProof/>
        </w:rPr>
        <w:t>part hereof.</w:t>
      </w:r>
    </w:p>
    <w:p w14:paraId="7F8962DB" w14:textId="77777777" w:rsidR="007766F3" w:rsidRPr="00C95FC1" w:rsidRDefault="007766F3" w:rsidP="00C95FC1">
      <w:pPr>
        <w:spacing w:after="0" w:line="240" w:lineRule="exact"/>
        <w:contextualSpacing/>
        <w:jc w:val="both"/>
        <w:rPr>
          <w:noProof/>
        </w:rPr>
      </w:pPr>
    </w:p>
    <w:p w14:paraId="54A26DC8" w14:textId="77777777" w:rsidR="00D20E8C" w:rsidRPr="00C95FC1" w:rsidRDefault="00C95FC1" w:rsidP="00C95FC1">
      <w:pPr>
        <w:spacing w:after="0" w:line="240" w:lineRule="exact"/>
        <w:contextualSpacing/>
        <w:jc w:val="both"/>
        <w:rPr>
          <w:noProof/>
        </w:rPr>
      </w:pPr>
      <w:r>
        <w:t xml:space="preserve">Based on the controlling legal precedent described on the reverse, since </w:t>
      </w:r>
      <w:fldSimple w:instr=" MERGEFIELD &quot;Special_Field1&quot; ">
        <w:r w:rsidR="0028014E">
          <w:rPr>
            <w:noProof/>
          </w:rPr>
          <w:t>«Special_Field1»</w:t>
        </w:r>
      </w:fldSimple>
      <w:r>
        <w:rPr>
          <w:noProof/>
        </w:rPr>
        <w:t xml:space="preserve"> did not pay the freight bill, </w:t>
      </w:r>
      <w:fldSimple w:instr=" MERGEFIELD &quot;Client_Short_Name&quot; ">
        <w:r w:rsidR="0028014E">
          <w:rPr>
            <w:noProof/>
          </w:rPr>
          <w:t>«Client_Short_Name»</w:t>
        </w:r>
      </w:fldSimple>
      <w:r>
        <w:t xml:space="preserve"> must look to their contract, the bill of lading, to ascertain the next party responsible for payment.  Per the applicable bill of lading, the Shipper, </w:t>
      </w:r>
      <w:fldSimple w:instr=" MERGEFIELD &quot;Account_Name&quot; ">
        <w:r w:rsidR="0028014E">
          <w:rPr>
            <w:noProof/>
          </w:rPr>
          <w:t>«Account_Name»</w:t>
        </w:r>
      </w:fldSimple>
      <w:r>
        <w:t>, is responsible.</w:t>
      </w:r>
    </w:p>
    <w:p w14:paraId="765A862B" w14:textId="77777777" w:rsidR="007766F3" w:rsidRDefault="007766F3" w:rsidP="00C95FC1">
      <w:pPr>
        <w:spacing w:after="0" w:line="240" w:lineRule="exact"/>
        <w:contextualSpacing/>
        <w:jc w:val="both"/>
      </w:pPr>
    </w:p>
    <w:p w14:paraId="09DA0AC6" w14:textId="77777777" w:rsidR="00C95FC1" w:rsidRDefault="00C95FC1" w:rsidP="00C95FC1">
      <w:pPr>
        <w:spacing w:after="0" w:line="240" w:lineRule="exact"/>
        <w:contextualSpacing/>
        <w:jc w:val="both"/>
      </w:pPr>
      <w:r>
        <w:t xml:space="preserve">Please pay the </w:t>
      </w:r>
      <w:r>
        <w:rPr>
          <w:noProof/>
        </w:rPr>
        <w:fldChar w:fldCharType="begin"/>
      </w:r>
      <w:r>
        <w:rPr>
          <w:noProof/>
        </w:rPr>
        <w:instrText xml:space="preserve"> MERGEFIELD "Actual_Total_Jmt_NonJmt_Owing" \# $#,##0.00</w:instrText>
      </w:r>
      <w:r>
        <w:rPr>
          <w:noProof/>
        </w:rPr>
        <w:fldChar w:fldCharType="separate"/>
      </w:r>
      <w:r w:rsidR="0028014E">
        <w:rPr>
          <w:noProof/>
        </w:rPr>
        <w:t>«Actual_Total_Jmt_NonJmt_Owing»</w:t>
      </w:r>
      <w:r>
        <w:rPr>
          <w:noProof/>
        </w:rPr>
        <w:fldChar w:fldCharType="end"/>
      </w:r>
      <w:r>
        <w:rPr>
          <w:noProof/>
        </w:rPr>
        <w:t xml:space="preserve"> of </w:t>
      </w:r>
      <w:r>
        <w:t xml:space="preserve">unpaid freight charges by </w:t>
      </w:r>
      <w:fldSimple w:instr=" MERGEFIELD &quot;Date_plus_14_days&quot; ">
        <w:r w:rsidR="0028014E">
          <w:rPr>
            <w:noProof/>
          </w:rPr>
          <w:t>«Date_plus_14_days»</w:t>
        </w:r>
      </w:fldSimple>
      <w:r>
        <w:t xml:space="preserve"> in any of the following methods:</w:t>
      </w:r>
    </w:p>
    <w:p w14:paraId="0CDBF7D1" w14:textId="77777777" w:rsidR="00C95FC1" w:rsidRDefault="00C95FC1" w:rsidP="00C95FC1">
      <w:pPr>
        <w:pStyle w:val="ListParagraph"/>
        <w:numPr>
          <w:ilvl w:val="0"/>
          <w:numId w:val="2"/>
        </w:numPr>
        <w:spacing w:after="0" w:line="240" w:lineRule="exact"/>
        <w:jc w:val="both"/>
      </w:pPr>
      <w:r>
        <w:t xml:space="preserve">Mail – draft a check payable to </w:t>
      </w:r>
      <w:fldSimple w:instr=" MERGEFIELD &quot;CliFile_Name&quot; ">
        <w:r w:rsidR="0028014E">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28014E">
        <w:rPr>
          <w:noProof/>
        </w:rPr>
        <w:t>«Account_Number»</w:t>
      </w:r>
      <w:r>
        <w:rPr>
          <w:noProof/>
        </w:rPr>
        <w:fldChar w:fldCharType="end"/>
      </w:r>
      <w:r>
        <w:rPr>
          <w:noProof/>
        </w:rPr>
        <w:t xml:space="preserve"> </w:t>
      </w:r>
      <w:r>
        <w:t>on the memo line and mail the check to our office at the address below</w:t>
      </w:r>
    </w:p>
    <w:p w14:paraId="6DBED501" w14:textId="77777777" w:rsidR="00C95FC1" w:rsidRPr="0028014E" w:rsidRDefault="00C95FC1" w:rsidP="00C95FC1">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28014E">
          <w:rPr>
            <w:rStyle w:val="Hyperlink"/>
            <w:b/>
            <w:bCs/>
            <w:color w:val="000000" w:themeColor="text1"/>
          </w:rPr>
          <w:t>https://www.afm-usa.com/payment</w:t>
        </w:r>
      </w:hyperlink>
    </w:p>
    <w:p w14:paraId="4CFE7D86" w14:textId="77777777" w:rsidR="00C95FC1" w:rsidRDefault="00C95FC1" w:rsidP="00C95FC1">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5A2268C0" w14:textId="77777777" w:rsidR="00C95FC1" w:rsidRDefault="00C95FC1" w:rsidP="00C95FC1">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75197D3E" w14:textId="77777777" w:rsidR="00C95FC1" w:rsidRDefault="00C95FC1" w:rsidP="00C95FC1">
      <w:pPr>
        <w:spacing w:after="0" w:line="160" w:lineRule="exact"/>
        <w:contextualSpacing/>
        <w:jc w:val="both"/>
        <w:rPr>
          <w:sz w:val="20"/>
          <w:szCs w:val="20"/>
        </w:rPr>
      </w:pPr>
    </w:p>
    <w:p w14:paraId="6DE69826" w14:textId="77777777" w:rsidR="00C95FC1" w:rsidRDefault="00C95FC1" w:rsidP="00C95FC1">
      <w:pPr>
        <w:spacing w:after="0" w:line="240" w:lineRule="exact"/>
        <w:contextualSpacing/>
        <w:jc w:val="both"/>
      </w:pPr>
      <w:r>
        <w:t xml:space="preserve">If we do not receive payment by </w:t>
      </w:r>
      <w:fldSimple w:instr=" MERGEFIELD &quot;Date_plus_14_days&quot; ">
        <w:r w:rsidR="0028014E">
          <w:rPr>
            <w:noProof/>
          </w:rPr>
          <w:t>«Date_plus_14_days»</w:t>
        </w:r>
      </w:fldSimple>
      <w:r>
        <w:t xml:space="preserve">, </w:t>
      </w:r>
      <w:r w:rsidR="004377D5">
        <w:t xml:space="preserve">then </w:t>
      </w:r>
      <w:fldSimple w:instr=" MERGEFIELD &quot;Client_Short_Name&quot; ">
        <w:r w:rsidR="0028014E">
          <w:rPr>
            <w:noProof/>
          </w:rPr>
          <w:t>«Client_Short_Name»</w:t>
        </w:r>
      </w:fldSimple>
      <w:r>
        <w:rPr>
          <w:noProof/>
        </w:rPr>
        <w:t xml:space="preserve"> </w:t>
      </w:r>
      <w:r>
        <w:t xml:space="preserve">will consider taking further action to recover the amount due.  Please note that all communications and payments must now be directed to our office.  </w:t>
      </w:r>
      <w:fldSimple w:instr=" MERGEFIELD &quot;Client_Short_Name&quot; ">
        <w:r w:rsidR="0028014E">
          <w:rPr>
            <w:noProof/>
          </w:rPr>
          <w:t>«Client_Short_Name»</w:t>
        </w:r>
      </w:fldSimple>
      <w:r>
        <w:t xml:space="preserve"> hopes for a prompt resolution of this matter</w:t>
      </w:r>
      <w:r>
        <w:rPr>
          <w:noProof/>
        </w:rPr>
        <w:t>.</w:t>
      </w:r>
    </w:p>
    <w:p w14:paraId="4267E7E9" w14:textId="77777777" w:rsidR="0050457A" w:rsidRPr="00BB2CDF" w:rsidRDefault="0050457A" w:rsidP="00F508EB">
      <w:pPr>
        <w:spacing w:after="0" w:line="160" w:lineRule="exact"/>
        <w:contextualSpacing/>
        <w:rPr>
          <w:sz w:val="20"/>
          <w:szCs w:val="20"/>
        </w:rPr>
      </w:pPr>
    </w:p>
    <w:p w14:paraId="2738A419" w14:textId="77777777" w:rsidR="00F85C67" w:rsidRDefault="00F85C67" w:rsidP="00F85C67">
      <w:pPr>
        <w:spacing w:after="0" w:line="240" w:lineRule="exact"/>
        <w:contextualSpacing/>
        <w:jc w:val="both"/>
      </w:pPr>
      <w:r>
        <w:t>Thank you,</w:t>
      </w:r>
    </w:p>
    <w:p w14:paraId="42FC0D60" w14:textId="77777777" w:rsidR="00F85C67" w:rsidRPr="00BB2CDF" w:rsidRDefault="00F85C67" w:rsidP="00CD0F98">
      <w:pPr>
        <w:spacing w:after="0" w:line="200" w:lineRule="exact"/>
        <w:contextualSpacing/>
        <w:jc w:val="both"/>
        <w:rPr>
          <w:sz w:val="20"/>
          <w:szCs w:val="20"/>
        </w:rPr>
      </w:pPr>
    </w:p>
    <w:p w14:paraId="5A9A01DA"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8014E">
        <w:rPr>
          <w:rFonts w:ascii="Freestyle Script" w:hAnsi="Freestyle Script"/>
          <w:noProof/>
          <w:sz w:val="36"/>
          <w:szCs w:val="36"/>
        </w:rPr>
        <w:t>«COLLECTOR_NAME_SIGNATURE»</w:t>
      </w:r>
      <w:r>
        <w:rPr>
          <w:rFonts w:ascii="Freestyle Script" w:hAnsi="Freestyle Script"/>
          <w:sz w:val="36"/>
          <w:szCs w:val="36"/>
        </w:rPr>
        <w:fldChar w:fldCharType="end"/>
      </w:r>
    </w:p>
    <w:p w14:paraId="6145EA33" w14:textId="77777777" w:rsidR="00F85C67" w:rsidRPr="009E45AA" w:rsidRDefault="00F85C67" w:rsidP="00CD0F98">
      <w:pPr>
        <w:spacing w:after="0" w:line="200" w:lineRule="exact"/>
        <w:contextualSpacing/>
        <w:jc w:val="both"/>
        <w:rPr>
          <w:sz w:val="4"/>
          <w:szCs w:val="4"/>
        </w:rPr>
      </w:pPr>
    </w:p>
    <w:p w14:paraId="523696D8"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28014E">
        <w:rPr>
          <w:b/>
          <w:noProof/>
        </w:rPr>
        <w:t>«Collector_Pseudonym»</w:t>
      </w:r>
      <w:r>
        <w:rPr>
          <w:b/>
          <w:noProof/>
        </w:rPr>
        <w:fldChar w:fldCharType="end"/>
      </w:r>
    </w:p>
    <w:p w14:paraId="1345C107" w14:textId="77777777" w:rsidR="00F85C67" w:rsidRDefault="0028014E" w:rsidP="00F85C67">
      <w:pPr>
        <w:spacing w:after="0" w:line="240" w:lineRule="exact"/>
        <w:contextualSpacing/>
      </w:pPr>
      <w:fldSimple w:instr=" MERGEFIELD &quot;X1005_Signature_Co_Line_1&quot; ">
        <w:r>
          <w:rPr>
            <w:noProof/>
          </w:rPr>
          <w:t>«X1005_Signature_Co_Line_1»</w:t>
        </w:r>
      </w:fldSimple>
      <w:r w:rsidR="00F85C67">
        <w:rPr>
          <w:noProof/>
        </w:rPr>
        <w:t xml:space="preserve"> </w:t>
      </w:r>
      <w:fldSimple w:instr=" MERGEFIELD &quot;X1006_Signature_Co_Line_2&quot; ">
        <w:r>
          <w:rPr>
            <w:noProof/>
          </w:rPr>
          <w:t>«X1006_Signature_Co_Line_2»</w:t>
        </w:r>
      </w:fldSimple>
    </w:p>
    <w:p w14:paraId="760AD3E0" w14:textId="77777777" w:rsidR="00F85C67" w:rsidRDefault="00F85C67" w:rsidP="00F85C67">
      <w:pPr>
        <w:spacing w:after="0" w:line="240" w:lineRule="exact"/>
        <w:contextualSpacing/>
      </w:pPr>
      <w:r>
        <w:t>P.O. Box 31579, Chicago, IL 60631</w:t>
      </w:r>
    </w:p>
    <w:p w14:paraId="186F2A45"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7BB55023" w14:textId="77777777" w:rsidR="00F85C67" w:rsidRDefault="00D3065A"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28014E">
        <w:rPr>
          <w:noProof/>
        </w:rPr>
        <w:t>«X1095_COLLECTOR_EMAIL_CUSTOM»</w:t>
      </w:r>
      <w:r>
        <w:rPr>
          <w:noProof/>
        </w:rPr>
        <w:fldChar w:fldCharType="end"/>
      </w:r>
      <w:r w:rsidR="006E1061">
        <w:rPr>
          <w:rFonts w:eastAsiaTheme="minorEastAsia"/>
          <w:noProof/>
        </w:rPr>
        <w:t xml:space="preserve"> </w:t>
      </w:r>
    </w:p>
    <w:p w14:paraId="75D03BF5" w14:textId="77777777" w:rsidR="00F85C67" w:rsidRPr="00582713" w:rsidRDefault="00F85C67" w:rsidP="00F508EB">
      <w:pPr>
        <w:spacing w:after="0" w:line="200" w:lineRule="exact"/>
        <w:contextualSpacing/>
        <w:rPr>
          <w:rFonts w:eastAsiaTheme="minorEastAsia"/>
          <w:noProof/>
          <w:sz w:val="6"/>
          <w:szCs w:val="6"/>
        </w:rPr>
      </w:pPr>
    </w:p>
    <w:p w14:paraId="50991FE9"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D6A1BDE" w14:textId="77777777" w:rsidR="00F85C67" w:rsidRPr="00582713" w:rsidRDefault="00F85C67" w:rsidP="00F508EB">
      <w:pPr>
        <w:spacing w:after="0" w:line="200" w:lineRule="exact"/>
        <w:contextualSpacing/>
        <w:rPr>
          <w:rFonts w:eastAsiaTheme="minorEastAsia"/>
          <w:noProof/>
          <w:sz w:val="6"/>
          <w:szCs w:val="6"/>
        </w:rPr>
      </w:pPr>
    </w:p>
    <w:p w14:paraId="0ABBCE8C" w14:textId="77777777" w:rsidR="00C95FC1" w:rsidRPr="00C95FC1" w:rsidRDefault="00F85C67" w:rsidP="00C95FC1">
      <w:pPr>
        <w:spacing w:after="0" w:line="240" w:lineRule="auto"/>
        <w:contextualSpacing/>
        <w:rPr>
          <w:rFonts w:eastAsiaTheme="minorEastAsia"/>
          <w:noProof/>
          <w:sz w:val="14"/>
          <w:szCs w:val="14"/>
        </w:rPr>
        <w:sectPr w:rsidR="00C95FC1" w:rsidRPr="00C95F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sect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r w:rsidR="007766F3">
        <w:rPr>
          <w:rFonts w:eastAsiaTheme="minorEastAsia"/>
          <w:noProof/>
          <w:sz w:val="14"/>
          <w:szCs w:val="14"/>
        </w:rPr>
        <w:t>.</w:t>
      </w:r>
    </w:p>
    <w:p w14:paraId="61EF7B7E" w14:textId="77777777" w:rsidR="007766F3" w:rsidRDefault="007766F3" w:rsidP="007766F3">
      <w:pPr>
        <w:spacing w:after="0" w:line="240" w:lineRule="auto"/>
        <w:contextualSpacing/>
        <w:jc w:val="center"/>
        <w:rPr>
          <w:sz w:val="18"/>
          <w:szCs w:val="18"/>
        </w:rPr>
      </w:pPr>
    </w:p>
    <w:p w14:paraId="3B61782D" w14:textId="77777777" w:rsidR="007766F3" w:rsidRPr="00C819E6" w:rsidRDefault="007766F3" w:rsidP="007766F3">
      <w:pPr>
        <w:spacing w:after="0" w:line="240" w:lineRule="auto"/>
        <w:contextualSpacing/>
        <w:jc w:val="center"/>
        <w:rPr>
          <w:sz w:val="18"/>
          <w:szCs w:val="18"/>
        </w:rPr>
      </w:pPr>
      <w:r w:rsidRPr="00C819E6">
        <w:rPr>
          <w:sz w:val="18"/>
          <w:szCs w:val="18"/>
        </w:rPr>
        <w:t>Legal Precedent</w:t>
      </w:r>
    </w:p>
    <w:p w14:paraId="254C234D" w14:textId="77777777" w:rsidR="007766F3" w:rsidRPr="00C819E6" w:rsidRDefault="007766F3" w:rsidP="007766F3">
      <w:pPr>
        <w:spacing w:after="0" w:line="240" w:lineRule="auto"/>
        <w:contextualSpacing/>
        <w:jc w:val="center"/>
        <w:rPr>
          <w:sz w:val="18"/>
          <w:szCs w:val="18"/>
        </w:rPr>
      </w:pPr>
    </w:p>
    <w:p w14:paraId="74F3095A" w14:textId="77777777" w:rsidR="007766F3" w:rsidRDefault="007766F3" w:rsidP="007766F3">
      <w:pPr>
        <w:spacing w:after="0" w:line="240" w:lineRule="auto"/>
        <w:contextualSpacing/>
        <w:rPr>
          <w:i/>
          <w:sz w:val="18"/>
          <w:szCs w:val="18"/>
        </w:rPr>
      </w:pPr>
      <w:r>
        <w:rPr>
          <w:sz w:val="18"/>
          <w:szCs w:val="18"/>
        </w:rPr>
        <w:t xml:space="preserve">“The bedrock rule of carriage cases is that, absent malfeasance, the carrier gets paid, the carrier gets paid, primarily by the shipper, secondarily by the consignee.”  </w:t>
      </w:r>
      <w:r>
        <w:rPr>
          <w:i/>
          <w:iCs/>
          <w:sz w:val="18"/>
          <w:szCs w:val="18"/>
        </w:rPr>
        <w:t>Excel Transportation Services, Inc v. CSX Lines, LLC, 280 F.2d 617 (S.D. Tex 2003).</w:t>
      </w:r>
      <w:r>
        <w:rPr>
          <w:sz w:val="18"/>
          <w:szCs w:val="18"/>
        </w:rPr>
        <w:t xml:space="preserve">  Further, the court in </w:t>
      </w:r>
      <w:r>
        <w:rPr>
          <w:i/>
          <w:iCs/>
          <w:sz w:val="18"/>
          <w:szCs w:val="18"/>
        </w:rPr>
        <w:t>Excel</w:t>
      </w:r>
      <w:r>
        <w:rPr>
          <w:sz w:val="18"/>
          <w:szCs w:val="18"/>
        </w:rPr>
        <w:t xml:space="preserve"> explained the policy reasons supporting this common law rule: It is superficially unfair that a shipper or consignee must pay for the shipments twice.  However, allowing them [shippers and consignees] the benefit of the carriage without compensating the carrier would eventually cripple the shipping industry, and the economy generally.  The entire point of the tariff regime – promoting commerce by removing shippers’ creditworthiness from a carrier’s list of concerns – would be eviscerated.  </w:t>
      </w:r>
      <w:r w:rsidRPr="00C819E6">
        <w:rPr>
          <w:i/>
          <w:sz w:val="18"/>
          <w:szCs w:val="18"/>
        </w:rPr>
        <w:t>Excel, 280 F.2d at 619</w:t>
      </w:r>
      <w:r w:rsidRPr="00C819E6">
        <w:rPr>
          <w:sz w:val="18"/>
          <w:szCs w:val="18"/>
        </w:rPr>
        <w:t>.</w:t>
      </w:r>
    </w:p>
    <w:p w14:paraId="2ABAAD5E" w14:textId="77777777" w:rsidR="007766F3" w:rsidRDefault="007766F3" w:rsidP="007766F3">
      <w:pPr>
        <w:spacing w:after="0" w:line="240" w:lineRule="auto"/>
        <w:contextualSpacing/>
        <w:rPr>
          <w:i/>
          <w:sz w:val="18"/>
          <w:szCs w:val="18"/>
        </w:rPr>
      </w:pPr>
    </w:p>
    <w:p w14:paraId="5699C9BC" w14:textId="77777777" w:rsidR="007766F3" w:rsidRDefault="007766F3" w:rsidP="007766F3">
      <w:pPr>
        <w:spacing w:after="0" w:line="240" w:lineRule="auto"/>
        <w:contextualSpacing/>
        <w:rPr>
          <w:sz w:val="18"/>
          <w:szCs w:val="18"/>
        </w:rPr>
      </w:pPr>
      <w:r>
        <w:rPr>
          <w:sz w:val="18"/>
          <w:szCs w:val="18"/>
        </w:rPr>
        <w:t xml:space="preserve">The Bill of Lading is the basic transportation contract between the shipper/consignor and the carrier, the terms and conditions of which bind the shipper and all connecting carriers.  </w:t>
      </w:r>
      <w:r>
        <w:rPr>
          <w:i/>
          <w:sz w:val="18"/>
          <w:szCs w:val="18"/>
        </w:rPr>
        <w:t>Estes Exp. Lines v. Unites States, 739 F.3d 689, 693-94 (Fed. Cir. 2014)</w:t>
      </w:r>
      <w:r>
        <w:rPr>
          <w:i/>
          <w:iCs/>
          <w:sz w:val="18"/>
          <w:szCs w:val="18"/>
        </w:rPr>
        <w:t>; S. Pac. Trans. Co. v. Commercial Metals Co., 456 U.S. 336, 342 (1982).</w:t>
      </w:r>
      <w:r>
        <w:rPr>
          <w:sz w:val="18"/>
          <w:szCs w:val="18"/>
        </w:rPr>
        <w:t xml:space="preserve">  To determine if there is a contractual promise to pay [courts] look primarily to the bills of lading; bearing in mind that the instrument serves both as a receipt and as a contract.”</w:t>
      </w:r>
      <w:r>
        <w:rPr>
          <w:color w:val="00B050"/>
          <w:sz w:val="18"/>
          <w:szCs w:val="18"/>
        </w:rPr>
        <w:t xml:space="preserve">  </w:t>
      </w:r>
      <w:r>
        <w:rPr>
          <w:i/>
          <w:sz w:val="18"/>
          <w:szCs w:val="18"/>
        </w:rPr>
        <w:t>Marx Transport, Inc. v. Air Express International Corporation, 882 N.E.2d 1281, 2187-88 (App. Ct. 1</w:t>
      </w:r>
      <w:r>
        <w:rPr>
          <w:i/>
          <w:sz w:val="18"/>
          <w:szCs w:val="18"/>
          <w:vertAlign w:val="superscript"/>
        </w:rPr>
        <w:t>st</w:t>
      </w:r>
      <w:r>
        <w:rPr>
          <w:i/>
          <w:sz w:val="18"/>
          <w:szCs w:val="18"/>
        </w:rPr>
        <w:t xml:space="preserve"> District 2008).</w:t>
      </w:r>
      <w:r>
        <w:rPr>
          <w:sz w:val="18"/>
          <w:szCs w:val="18"/>
        </w:rPr>
        <w:t xml:space="preserve">  Further, it is undisputed that the industry standard is the uniform straight bill of lading.  </w:t>
      </w:r>
      <w:r>
        <w:rPr>
          <w:i/>
          <w:sz w:val="18"/>
          <w:szCs w:val="18"/>
        </w:rPr>
        <w:t>Oak Harbor Freight Lines, Inc.</w:t>
      </w:r>
      <w:r>
        <w:rPr>
          <w:sz w:val="18"/>
          <w:szCs w:val="18"/>
        </w:rPr>
        <w:t xml:space="preserve"> v. </w:t>
      </w:r>
      <w:r>
        <w:rPr>
          <w:i/>
          <w:sz w:val="18"/>
          <w:szCs w:val="18"/>
        </w:rPr>
        <w:t>Sears Roebuck &amp; Co.</w:t>
      </w:r>
      <w:r>
        <w:rPr>
          <w:sz w:val="18"/>
          <w:szCs w:val="18"/>
        </w:rPr>
        <w:t xml:space="preserve">, </w:t>
      </w:r>
      <w:r>
        <w:rPr>
          <w:i/>
          <w:iCs/>
          <w:sz w:val="18"/>
          <w:szCs w:val="18"/>
        </w:rPr>
        <w:t>513 F.3d 949, 955 (2008)</w:t>
      </w:r>
      <w:r>
        <w:rPr>
          <w:sz w:val="18"/>
          <w:szCs w:val="18"/>
        </w:rPr>
        <w:t>.</w:t>
      </w:r>
    </w:p>
    <w:p w14:paraId="64DD2249" w14:textId="77777777" w:rsidR="007766F3" w:rsidRDefault="007766F3" w:rsidP="007766F3">
      <w:pPr>
        <w:spacing w:after="0" w:line="240" w:lineRule="auto"/>
        <w:contextualSpacing/>
        <w:rPr>
          <w:sz w:val="18"/>
          <w:szCs w:val="18"/>
        </w:rPr>
      </w:pPr>
    </w:p>
    <w:p w14:paraId="1279476E" w14:textId="77777777" w:rsidR="007766F3" w:rsidRDefault="007766F3" w:rsidP="007766F3">
      <w:pPr>
        <w:spacing w:after="0" w:line="240" w:lineRule="auto"/>
        <w:contextualSpacing/>
        <w:rPr>
          <w:sz w:val="18"/>
          <w:szCs w:val="18"/>
        </w:rPr>
      </w:pPr>
      <w:r>
        <w:rPr>
          <w:sz w:val="18"/>
          <w:szCs w:val="18"/>
        </w:rPr>
        <w:t xml:space="preserve">Under the straight uniform bill of lading terms, by default, the shipper/consignor is liable for payment unless the bill of lading is marked collect </w:t>
      </w:r>
      <w:r>
        <w:rPr>
          <w:sz w:val="18"/>
          <w:szCs w:val="18"/>
          <w:u w:val="single"/>
        </w:rPr>
        <w:t>and</w:t>
      </w:r>
      <w:r>
        <w:rPr>
          <w:sz w:val="18"/>
          <w:szCs w:val="18"/>
        </w:rPr>
        <w:t xml:space="preserve"> the non-recourse (Section 7) provision is signed. </w:t>
      </w:r>
      <w:r>
        <w:rPr>
          <w:i/>
          <w:sz w:val="18"/>
          <w:szCs w:val="18"/>
        </w:rPr>
        <w:t xml:space="preserve"> Id. at 955; S. Pac. Transp., 456 U.S. at 342; Bestway Systems, Inc. v. Gulf Forge Co., 100 F.3d 31, 34 (5</w:t>
      </w:r>
      <w:r>
        <w:rPr>
          <w:i/>
          <w:sz w:val="18"/>
          <w:szCs w:val="18"/>
          <w:vertAlign w:val="superscript"/>
        </w:rPr>
        <w:t>th</w:t>
      </w:r>
      <w:r>
        <w:rPr>
          <w:i/>
          <w:sz w:val="18"/>
          <w:szCs w:val="18"/>
        </w:rPr>
        <w:t xml:space="preserve"> Cir. 1996).</w:t>
      </w:r>
      <w:r>
        <w:rPr>
          <w:sz w:val="18"/>
          <w:szCs w:val="18"/>
        </w:rPr>
        <w:t xml:space="preserve">  If the BOL is marked prepaid and the non-recourse, Section 7, provision is signed, then courts are faced with interpreting these inconsistent bill of lading notations.  In </w:t>
      </w:r>
      <w:r>
        <w:rPr>
          <w:i/>
          <w:iCs/>
          <w:sz w:val="18"/>
          <w:szCs w:val="18"/>
        </w:rPr>
        <w:t>Jones Motor Co. v. Teledyne, 732 F.Supp.490 (D. Del. 1990),</w:t>
      </w:r>
      <w:r>
        <w:rPr>
          <w:sz w:val="18"/>
          <w:szCs w:val="18"/>
        </w:rPr>
        <w:t xml:space="preserve"> the Court found the shipper liable.  In </w:t>
      </w:r>
      <w:r>
        <w:rPr>
          <w:i/>
          <w:iCs/>
          <w:sz w:val="18"/>
          <w:szCs w:val="18"/>
        </w:rPr>
        <w:t>Jones</w:t>
      </w:r>
      <w:r>
        <w:rPr>
          <w:sz w:val="18"/>
          <w:szCs w:val="18"/>
        </w:rPr>
        <w:t xml:space="preserve">, the Court held that a bill of lading marked both “prepaid” and “nonrecourse” binds the shipper to pay for the “line haul” freight charges.  </w:t>
      </w:r>
      <w:r>
        <w:rPr>
          <w:i/>
          <w:iCs/>
          <w:sz w:val="18"/>
          <w:szCs w:val="18"/>
        </w:rPr>
        <w:t>Id. at 492.</w:t>
      </w:r>
    </w:p>
    <w:p w14:paraId="51B5F292" w14:textId="77777777" w:rsidR="007766F3" w:rsidRDefault="007766F3" w:rsidP="007766F3">
      <w:pPr>
        <w:spacing w:after="0" w:line="240" w:lineRule="auto"/>
        <w:contextualSpacing/>
        <w:rPr>
          <w:sz w:val="18"/>
          <w:szCs w:val="18"/>
        </w:rPr>
      </w:pPr>
    </w:p>
    <w:p w14:paraId="4C2799F0" w14:textId="77777777" w:rsidR="007766F3" w:rsidRDefault="007766F3" w:rsidP="007766F3">
      <w:pPr>
        <w:spacing w:after="0" w:line="240" w:lineRule="auto"/>
        <w:contextualSpacing/>
        <w:rPr>
          <w:i/>
          <w:sz w:val="18"/>
          <w:szCs w:val="18"/>
        </w:rPr>
      </w:pPr>
      <w:r>
        <w:rPr>
          <w:sz w:val="18"/>
          <w:szCs w:val="18"/>
        </w:rPr>
        <w:t xml:space="preserve">Shippers and consignees, where they have already paid, raise estoppel as a defense.  Double payment alone is not enough to establish estoppel.  </w:t>
      </w:r>
      <w:r>
        <w:rPr>
          <w:i/>
          <w:sz w:val="18"/>
          <w:szCs w:val="18"/>
        </w:rPr>
        <w:t xml:space="preserve">S Pac. Transp., 456 U.S. at 351-52.  </w:t>
      </w:r>
      <w:r>
        <w:rPr>
          <w:sz w:val="18"/>
          <w:szCs w:val="18"/>
        </w:rPr>
        <w:t xml:space="preserve">Based on case law, shippers, as compared to consignees, have a more difficult time proving estoppel.  In </w:t>
      </w:r>
      <w:r>
        <w:rPr>
          <w:i/>
          <w:sz w:val="18"/>
          <w:szCs w:val="18"/>
        </w:rPr>
        <w:t>Southern Pacific Transportation</w:t>
      </w:r>
      <w:r>
        <w:rPr>
          <w:sz w:val="18"/>
          <w:szCs w:val="18"/>
        </w:rPr>
        <w:t xml:space="preserve">, the Court refused to grant an estoppel defense to a shipper because (a) the shipper was paid for the goods but the carrier was not paid for its services; and (b) the shipper, having failed to mark the bill of lading as “nonrecourse,” remained primarily liable for the freight charges. </w:t>
      </w:r>
      <w:r>
        <w:rPr>
          <w:i/>
          <w:sz w:val="18"/>
          <w:szCs w:val="18"/>
        </w:rPr>
        <w:t xml:space="preserve"> Id. at 351-52.</w:t>
      </w:r>
    </w:p>
    <w:p w14:paraId="2649704B" w14:textId="77777777" w:rsidR="007766F3" w:rsidRDefault="007766F3" w:rsidP="007766F3">
      <w:pPr>
        <w:spacing w:after="0" w:line="240" w:lineRule="auto"/>
        <w:contextualSpacing/>
        <w:rPr>
          <w:i/>
          <w:sz w:val="18"/>
          <w:szCs w:val="18"/>
        </w:rPr>
      </w:pPr>
    </w:p>
    <w:p w14:paraId="6A65BA7F" w14:textId="77777777" w:rsidR="007766F3" w:rsidRDefault="007766F3" w:rsidP="007766F3">
      <w:pPr>
        <w:spacing w:after="0" w:line="240" w:lineRule="auto"/>
        <w:contextualSpacing/>
        <w:rPr>
          <w:i/>
          <w:sz w:val="18"/>
          <w:szCs w:val="18"/>
        </w:rPr>
      </w:pPr>
      <w:r>
        <w:rPr>
          <w:sz w:val="18"/>
          <w:szCs w:val="18"/>
        </w:rPr>
        <w:t xml:space="preserve">The Third, Fourth, Fifth and Eleventh Circuits have all reached the same conclusion that a shipper should bear the risk when it chooses to pay for freight charges through a broker rather than directly to the carrier.  </w:t>
      </w:r>
      <w:r>
        <w:rPr>
          <w:i/>
          <w:sz w:val="18"/>
          <w:szCs w:val="18"/>
        </w:rPr>
        <w:t>Oak Harbor, 513 F.3d at 959; Hawkspere Shipping Co. v. Intamex, S.A., 330 F.3d 225, 237-38 (4th</w:t>
      </w:r>
      <w:r>
        <w:rPr>
          <w:i/>
          <w:sz w:val="18"/>
          <w:szCs w:val="18"/>
          <w:vertAlign w:val="superscript"/>
        </w:rPr>
        <w:t xml:space="preserve"> </w:t>
      </w:r>
      <w:r>
        <w:rPr>
          <w:i/>
          <w:sz w:val="18"/>
          <w:szCs w:val="18"/>
        </w:rPr>
        <w:t>Cir. 2003); Strachan Shipping Co. v. Dresser Indus., Inc., 701 F.2d 483, 489-90 (5</w:t>
      </w:r>
      <w:r>
        <w:rPr>
          <w:i/>
          <w:sz w:val="18"/>
          <w:szCs w:val="18"/>
          <w:vertAlign w:val="superscript"/>
        </w:rPr>
        <w:t>th</w:t>
      </w:r>
      <w:r>
        <w:rPr>
          <w:i/>
          <w:sz w:val="18"/>
          <w:szCs w:val="18"/>
        </w:rPr>
        <w:t xml:space="preserve"> Cir. 1983); Nat’l Shipping Co. of Saudi Arabia v. Omni Lines, Inc., 106 F.3d 1544, 1546-47 (11th Cir. 1997).</w:t>
      </w:r>
      <w:r>
        <w:rPr>
          <w:sz w:val="18"/>
          <w:szCs w:val="18"/>
        </w:rPr>
        <w:t xml:space="preserve">  “As those courts have explained, the shipper, and not the carrier, is in the best position to avoid liability for double payment by dealing with a reputable freight forwarder, by contracting with the carrier to eliminate the shipper’s liability, or by simply paying the carrier directly.”  </w:t>
      </w:r>
      <w:r>
        <w:rPr>
          <w:i/>
          <w:sz w:val="18"/>
          <w:szCs w:val="18"/>
        </w:rPr>
        <w:t>Oak Harbor, 513 F.3d at 959; Nat’l Shipping, 106 F.3d at 1547 (recommending using reputable freight forwarders or contracting with carriers to eliminate liability); Hawkspere, 330 F.3d at 237 (recommending paying carrier directly).</w:t>
      </w:r>
    </w:p>
    <w:p w14:paraId="5BB07E64" w14:textId="77777777" w:rsidR="007766F3" w:rsidRDefault="007766F3" w:rsidP="007766F3">
      <w:pPr>
        <w:spacing w:after="0" w:line="240" w:lineRule="auto"/>
        <w:contextualSpacing/>
        <w:rPr>
          <w:i/>
          <w:sz w:val="18"/>
          <w:szCs w:val="18"/>
        </w:rPr>
      </w:pPr>
    </w:p>
    <w:p w14:paraId="1CED9D85" w14:textId="77777777" w:rsidR="007766F3" w:rsidRDefault="007766F3" w:rsidP="007766F3">
      <w:pPr>
        <w:spacing w:after="0" w:line="240" w:lineRule="auto"/>
        <w:contextualSpacing/>
        <w:rPr>
          <w:i/>
          <w:sz w:val="18"/>
          <w:szCs w:val="18"/>
        </w:rPr>
      </w:pPr>
      <w:r>
        <w:rPr>
          <w:sz w:val="18"/>
          <w:szCs w:val="18"/>
        </w:rPr>
        <w:t xml:space="preserve">Moreover, with regards to an intermediary whose trustee or secured creditors claims the unpaid freight charges as either assets of the debtor’s bankruptcy estate or sums due the secured creditor, rather than the carrier, one must look to trust principles and </w:t>
      </w:r>
      <w:r>
        <w:rPr>
          <w:i/>
          <w:sz w:val="18"/>
          <w:szCs w:val="18"/>
        </w:rPr>
        <w:t>In re Penn Central Trans. Co,. 486 F.2d 519 (3</w:t>
      </w:r>
      <w:r>
        <w:rPr>
          <w:i/>
          <w:sz w:val="18"/>
          <w:szCs w:val="18"/>
          <w:vertAlign w:val="superscript"/>
        </w:rPr>
        <w:t>rd</w:t>
      </w:r>
      <w:r>
        <w:rPr>
          <w:i/>
          <w:sz w:val="18"/>
          <w:szCs w:val="18"/>
        </w:rPr>
        <w:t xml:space="preserve"> Cir. 1973).</w:t>
      </w:r>
      <w:r>
        <w:rPr>
          <w:sz w:val="18"/>
          <w:szCs w:val="18"/>
        </w:rPr>
        <w:t xml:space="preserve">  There, the Court recognized, based upon federal common law, monies collected by a bankrupt railroad for payment to other railroads that had handled interline shipments were not the property of the estate but were held in trust for payment to the other railroads without whom the freight transportation, and thus the right to payment for same, would not have been accomplished.  </w:t>
      </w:r>
      <w:r>
        <w:rPr>
          <w:i/>
          <w:sz w:val="18"/>
          <w:szCs w:val="18"/>
        </w:rPr>
        <w:t>In re Penn Central Transp. 486 F.2d at 524.</w:t>
      </w:r>
    </w:p>
    <w:p w14:paraId="62C0ACF7" w14:textId="77777777" w:rsidR="007766F3" w:rsidRDefault="007766F3" w:rsidP="007766F3">
      <w:pPr>
        <w:spacing w:after="0" w:line="240" w:lineRule="auto"/>
        <w:contextualSpacing/>
        <w:rPr>
          <w:i/>
          <w:sz w:val="18"/>
          <w:szCs w:val="18"/>
        </w:rPr>
      </w:pPr>
    </w:p>
    <w:p w14:paraId="14B85BAC" w14:textId="77777777" w:rsidR="007766F3" w:rsidRPr="007766F3" w:rsidRDefault="007766F3" w:rsidP="007766F3">
      <w:pPr>
        <w:spacing w:after="0" w:line="240" w:lineRule="auto"/>
        <w:contextualSpacing/>
        <w:rPr>
          <w:i/>
          <w:sz w:val="18"/>
          <w:szCs w:val="18"/>
        </w:rPr>
      </w:pPr>
      <w:r>
        <w:rPr>
          <w:sz w:val="18"/>
          <w:szCs w:val="18"/>
        </w:rPr>
        <w:t xml:space="preserve">In a similar, though non-bankruptcy context, an interline motor carrier prevailed over another interline motor carrier’s secured lender in regard to freight charges which were deemed to be trust funds and, thus, not subject to the defendant bank’s security interest.  </w:t>
      </w:r>
      <w:r>
        <w:rPr>
          <w:i/>
          <w:sz w:val="18"/>
          <w:szCs w:val="18"/>
        </w:rPr>
        <w:t>Parker Motor Freight v. Fifth Third Bank, 116 F.3d 1137, 1140 (6</w:t>
      </w:r>
      <w:r>
        <w:rPr>
          <w:i/>
          <w:sz w:val="18"/>
          <w:szCs w:val="18"/>
          <w:vertAlign w:val="superscript"/>
        </w:rPr>
        <w:t>th</w:t>
      </w:r>
      <w:r>
        <w:rPr>
          <w:i/>
          <w:sz w:val="18"/>
          <w:szCs w:val="18"/>
        </w:rPr>
        <w:t xml:space="preserve"> Cir. 1997)(holding that the federal common law trust principles recognized in In re Penn Central applied to motor carriers</w:t>
      </w:r>
      <w:r w:rsidR="000F611D">
        <w:rPr>
          <w:i/>
          <w:sz w:val="18"/>
          <w:szCs w:val="18"/>
        </w:rPr>
        <w:t>)</w:t>
      </w:r>
      <w:r>
        <w:rPr>
          <w:i/>
          <w:sz w:val="18"/>
          <w:szCs w:val="18"/>
        </w:rPr>
        <w:t>.</w:t>
      </w:r>
    </w:p>
    <w:sectPr w:rsidR="007766F3" w:rsidRPr="007766F3" w:rsidSect="007766F3">
      <w:headerReference w:type="default" r:id="rId14"/>
      <w:pgSz w:w="12240" w:h="15840"/>
      <w:pgMar w:top="1440" w:right="1440" w:bottom="3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E869" w14:textId="77777777" w:rsidR="009E6305" w:rsidRDefault="009E6305" w:rsidP="00C5018F">
      <w:pPr>
        <w:spacing w:after="0" w:line="240" w:lineRule="auto"/>
      </w:pPr>
      <w:r>
        <w:separator/>
      </w:r>
    </w:p>
  </w:endnote>
  <w:endnote w:type="continuationSeparator" w:id="0">
    <w:p w14:paraId="7A0448D6" w14:textId="77777777" w:rsidR="009E6305" w:rsidRDefault="009E630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9D6B" w14:textId="77777777" w:rsidR="006D4E23" w:rsidRDefault="006D4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DBF84" w14:textId="77777777" w:rsidR="006D4E23" w:rsidRDefault="006D4E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F67B1" w14:textId="77777777" w:rsidR="006D4E23" w:rsidRDefault="006D4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77AD" w14:textId="77777777" w:rsidR="009E6305" w:rsidRDefault="009E6305" w:rsidP="00C5018F">
      <w:pPr>
        <w:spacing w:after="0" w:line="240" w:lineRule="auto"/>
      </w:pPr>
      <w:r>
        <w:separator/>
      </w:r>
    </w:p>
  </w:footnote>
  <w:footnote w:type="continuationSeparator" w:id="0">
    <w:p w14:paraId="78965ED8" w14:textId="77777777" w:rsidR="009E6305" w:rsidRDefault="009E630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2156" w14:textId="77777777" w:rsidR="006D4E23" w:rsidRDefault="006D4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F322" w14:textId="77777777" w:rsidR="00C95FC1" w:rsidRDefault="00C95FC1" w:rsidP="00C5018F">
    <w:pPr>
      <w:pStyle w:val="Title"/>
      <w:rPr>
        <w:rFonts w:ascii="Arial" w:hAnsi="Arial"/>
        <w:sz w:val="36"/>
        <w:szCs w:val="36"/>
      </w:rPr>
    </w:pPr>
    <w:r>
      <w:rPr>
        <w:rFonts w:ascii="Arial" w:hAnsi="Arial"/>
        <w:sz w:val="36"/>
        <w:szCs w:val="36"/>
      </w:rPr>
      <w:t>Richard T Avis, Attorney</w:t>
    </w:r>
  </w:p>
  <w:p w14:paraId="3D742D81" w14:textId="77777777" w:rsidR="00C95FC1" w:rsidRDefault="00C95FC1" w:rsidP="00C5018F">
    <w:pPr>
      <w:pStyle w:val="Title"/>
      <w:rPr>
        <w:rFonts w:ascii="Arial" w:hAnsi="Arial"/>
        <w:sz w:val="36"/>
        <w:szCs w:val="36"/>
      </w:rPr>
    </w:pPr>
    <w:r>
      <w:rPr>
        <w:rFonts w:ascii="Arial" w:hAnsi="Arial"/>
        <w:sz w:val="36"/>
        <w:szCs w:val="36"/>
      </w:rPr>
      <w:t>&amp; Associates, LLC</w:t>
    </w:r>
  </w:p>
  <w:p w14:paraId="2D0272A6" w14:textId="77777777" w:rsidR="00C95FC1" w:rsidRPr="00121C99" w:rsidRDefault="00C95FC1" w:rsidP="00C5018F">
    <w:pPr>
      <w:pStyle w:val="Title"/>
      <w:jc w:val="left"/>
      <w:rPr>
        <w:rFonts w:ascii="Arial" w:hAnsi="Arial"/>
        <w:b/>
        <w:sz w:val="18"/>
        <w:szCs w:val="18"/>
      </w:rPr>
    </w:pPr>
  </w:p>
  <w:p w14:paraId="51F51A67" w14:textId="77777777" w:rsidR="00C95FC1" w:rsidRDefault="00C95FC1"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302C1ED" w14:textId="77777777" w:rsidR="00C95FC1" w:rsidRDefault="00C95FC1" w:rsidP="00C5018F">
    <w:pPr>
      <w:spacing w:after="0"/>
      <w:jc w:val="both"/>
      <w:rPr>
        <w:rFonts w:ascii="Arial" w:hAnsi="Arial"/>
        <w:sz w:val="20"/>
        <w:szCs w:val="20"/>
      </w:rPr>
    </w:pPr>
  </w:p>
  <w:p w14:paraId="5BD67923" w14:textId="77777777" w:rsidR="00C95FC1" w:rsidRDefault="00C95FC1"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DF21DF6" w14:textId="77777777" w:rsidR="00C95FC1" w:rsidRDefault="00C95FC1"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686D4" w14:textId="77777777" w:rsidR="006D4E23" w:rsidRDefault="006D4E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D8DB" w14:textId="77777777" w:rsidR="00C95FC1" w:rsidRPr="001B14D5" w:rsidRDefault="00C95FC1" w:rsidP="001B1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603705">
    <w:abstractNumId w:val="0"/>
  </w:num>
  <w:num w:numId="2" w16cid:durableId="111104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3CFC"/>
    <w:rsid w:val="000B19D0"/>
    <w:rsid w:val="000C2C0E"/>
    <w:rsid w:val="000C39E4"/>
    <w:rsid w:val="000E7422"/>
    <w:rsid w:val="000F611D"/>
    <w:rsid w:val="00121C99"/>
    <w:rsid w:val="001321FB"/>
    <w:rsid w:val="001B00D0"/>
    <w:rsid w:val="001B14D5"/>
    <w:rsid w:val="001B1B02"/>
    <w:rsid w:val="00267DA0"/>
    <w:rsid w:val="0028014E"/>
    <w:rsid w:val="002E3CFE"/>
    <w:rsid w:val="002F2BB0"/>
    <w:rsid w:val="00363667"/>
    <w:rsid w:val="00374130"/>
    <w:rsid w:val="00422A36"/>
    <w:rsid w:val="004377D5"/>
    <w:rsid w:val="00454269"/>
    <w:rsid w:val="00470AB4"/>
    <w:rsid w:val="004E406E"/>
    <w:rsid w:val="0050457A"/>
    <w:rsid w:val="00566981"/>
    <w:rsid w:val="00582713"/>
    <w:rsid w:val="00681102"/>
    <w:rsid w:val="006D4E23"/>
    <w:rsid w:val="006E1061"/>
    <w:rsid w:val="00726010"/>
    <w:rsid w:val="007766F3"/>
    <w:rsid w:val="007A0486"/>
    <w:rsid w:val="008E300E"/>
    <w:rsid w:val="009E45AA"/>
    <w:rsid w:val="009E6305"/>
    <w:rsid w:val="00A2460A"/>
    <w:rsid w:val="00A53A27"/>
    <w:rsid w:val="00A60E17"/>
    <w:rsid w:val="00AB56EF"/>
    <w:rsid w:val="00B94FAC"/>
    <w:rsid w:val="00BB2CDF"/>
    <w:rsid w:val="00BF00F2"/>
    <w:rsid w:val="00C5018F"/>
    <w:rsid w:val="00C63578"/>
    <w:rsid w:val="00C819E6"/>
    <w:rsid w:val="00C95FC1"/>
    <w:rsid w:val="00CD0F98"/>
    <w:rsid w:val="00D20E8C"/>
    <w:rsid w:val="00D3065A"/>
    <w:rsid w:val="00D82D1A"/>
    <w:rsid w:val="00E11B29"/>
    <w:rsid w:val="00EA1B5A"/>
    <w:rsid w:val="00ED5763"/>
    <w:rsid w:val="00F22988"/>
    <w:rsid w:val="00F508EB"/>
    <w:rsid w:val="00F55EDD"/>
    <w:rsid w:val="00F762CE"/>
    <w:rsid w:val="00F85C67"/>
    <w:rsid w:val="00FB0C55"/>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ED7BF"/>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A60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E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8061080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2018-12-04T22:13:00Z</cp:lastPrinted>
  <dcterms:created xsi:type="dcterms:W3CDTF">2023-07-16T23:35:00Z</dcterms:created>
  <dcterms:modified xsi:type="dcterms:W3CDTF">2023-07-16T23:35:00Z</dcterms:modified>
</cp:coreProperties>
</file>