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D2B" w:rsidRDefault="00B56D2B" w:rsidP="00B56D2B">
      <w:pPr>
        <w:pStyle w:val="1"/>
        <w:rPr>
          <w:lang w:val="en-US"/>
        </w:rPr>
      </w:pPr>
      <w:r w:rsidRPr="004A69EC">
        <w:rPr>
          <w:lang w:val="en-US"/>
        </w:rPr>
        <w:t>The Foundations of Mathematics</w:t>
      </w:r>
    </w:p>
    <w:p w:rsidR="00351A3E" w:rsidRDefault="002660BB" w:rsidP="004A69EC">
      <w:pPr>
        <w:rPr>
          <w:rFonts w:ascii="Times New Roman" w:hAnsi="Times New Roman" w:cs="Times New Roman"/>
          <w:sz w:val="22"/>
          <w:szCs w:val="22"/>
          <w:lang w:val="en-US"/>
        </w:rPr>
      </w:pPr>
      <w:r w:rsidRPr="004A69EC">
        <w:rPr>
          <w:rFonts w:ascii="Times New Roman" w:hAnsi="Times New Roman" w:cs="Times New Roman"/>
          <w:sz w:val="22"/>
          <w:szCs w:val="22"/>
          <w:lang w:val="en-US"/>
        </w:rPr>
        <w:t xml:space="preserve">The foundations of mathematics involves the axiomatic method. This means that in mathematics, one writes down axioms and proves theorems from the axioms. The justification for the axioms (why they are interesting, or true in some sense, or worth studying) is part of the motivation, or physics, or philosophy, not part of the mathematics. The mathematics itself consists of logical deductions from the axioms. Here </w:t>
      </w:r>
      <w:r w:rsidR="00351A3E">
        <w:rPr>
          <w:rFonts w:ascii="Times New Roman" w:hAnsi="Times New Roman" w:cs="Times New Roman"/>
          <w:sz w:val="22"/>
          <w:szCs w:val="22"/>
          <w:lang w:val="en-US"/>
        </w:rPr>
        <w:t>is</w:t>
      </w:r>
      <w:r w:rsidRPr="004A69EC">
        <w:rPr>
          <w:rFonts w:ascii="Times New Roman" w:hAnsi="Times New Roman" w:cs="Times New Roman"/>
          <w:sz w:val="22"/>
          <w:szCs w:val="22"/>
          <w:lang w:val="en-US"/>
        </w:rPr>
        <w:t xml:space="preserve"> </w:t>
      </w:r>
      <w:r w:rsidR="004A69EC">
        <w:rPr>
          <w:rFonts w:ascii="Times New Roman" w:hAnsi="Times New Roman" w:cs="Times New Roman"/>
          <w:sz w:val="22"/>
          <w:szCs w:val="22"/>
          <w:lang w:val="en-US"/>
        </w:rPr>
        <w:t>example</w:t>
      </w:r>
      <w:r w:rsidRPr="004A69EC">
        <w:rPr>
          <w:rFonts w:ascii="Times New Roman" w:hAnsi="Times New Roman" w:cs="Times New Roman"/>
          <w:sz w:val="22"/>
          <w:szCs w:val="22"/>
          <w:lang w:val="en-US"/>
        </w:rPr>
        <w:t xml:space="preserve"> of the axiomatic method. </w:t>
      </w:r>
    </w:p>
    <w:p w:rsidR="00293650" w:rsidRDefault="00351A3E" w:rsidP="004A69EC">
      <w:pPr>
        <w:rPr>
          <w:rFonts w:ascii="Times New Roman" w:hAnsi="Times New Roman" w:cs="Times New Roman"/>
          <w:sz w:val="22"/>
          <w:szCs w:val="22"/>
          <w:lang w:val="en-US"/>
        </w:rPr>
      </w:pPr>
      <w:r>
        <w:rPr>
          <w:rFonts w:ascii="Times New Roman" w:hAnsi="Times New Roman" w:cs="Times New Roman"/>
          <w:sz w:val="22"/>
          <w:szCs w:val="22"/>
          <w:lang w:val="en-US"/>
        </w:rPr>
        <w:t>Example</w:t>
      </w:r>
      <w:r w:rsidR="004A69EC" w:rsidRPr="004A69EC">
        <w:rPr>
          <w:rFonts w:ascii="Times New Roman" w:hAnsi="Times New Roman" w:cs="Times New Roman"/>
          <w:sz w:val="22"/>
          <w:szCs w:val="22"/>
          <w:lang w:val="en-US"/>
        </w:rPr>
        <w:t>: Group Theory. The group idea, as applied to permutations and algebraic equations, dates from around 1800 (Ruffini 1799, Abel 1824, Galois 1832). The axiomatic treatment is usua</w:t>
      </w:r>
      <w:r w:rsidR="00293650">
        <w:rPr>
          <w:rFonts w:ascii="Times New Roman" w:hAnsi="Times New Roman" w:cs="Times New Roman"/>
          <w:sz w:val="22"/>
          <w:szCs w:val="22"/>
          <w:lang w:val="en-US"/>
        </w:rPr>
        <w:t>lly attributed to Cayley (1854)</w:t>
      </w:r>
      <w:r w:rsidR="004A69EC" w:rsidRPr="004A69EC">
        <w:rPr>
          <w:rFonts w:ascii="Times New Roman" w:hAnsi="Times New Roman" w:cs="Times New Roman"/>
          <w:sz w:val="22"/>
          <w:szCs w:val="22"/>
          <w:lang w:val="en-US"/>
        </w:rPr>
        <w:t xml:space="preserve">. We shall list all the group axioms because they are simple and will provide a useful example for us as we go on. A group is a model </w:t>
      </w:r>
      <m:oMath>
        <m:r>
          <w:rPr>
            <w:rFonts w:ascii="Cambria Math" w:hAnsi="Cambria Math" w:cs="Times New Roman"/>
            <w:sz w:val="22"/>
            <w:szCs w:val="22"/>
            <w:lang w:val="en-US"/>
          </w:rPr>
          <m:t>(G; ·)</m:t>
        </m:r>
      </m:oMath>
      <w:r w:rsidR="004A69EC" w:rsidRPr="004A69EC">
        <w:rPr>
          <w:rFonts w:ascii="Times New Roman" w:hAnsi="Times New Roman" w:cs="Times New Roman"/>
          <w:sz w:val="22"/>
          <w:szCs w:val="22"/>
          <w:lang w:val="en-US"/>
        </w:rPr>
        <w:t xml:space="preserve"> for the axioms </w:t>
      </w:r>
      <m:oMath>
        <m:r>
          <w:rPr>
            <w:rFonts w:ascii="Cambria Math" w:hAnsi="Cambria Math" w:cs="Times New Roman"/>
            <w:sz w:val="22"/>
            <w:szCs w:val="22"/>
            <w:lang w:val="en-US"/>
          </w:rPr>
          <m:t>GP = {γ1, γ2}</m:t>
        </m:r>
      </m:oMath>
      <w:r w:rsidR="004A69EC" w:rsidRPr="004A69EC">
        <w:rPr>
          <w:rFonts w:ascii="Times New Roman" w:hAnsi="Times New Roman" w:cs="Times New Roman"/>
          <w:sz w:val="22"/>
          <w:szCs w:val="22"/>
          <w:lang w:val="en-US"/>
        </w:rPr>
        <w:t xml:space="preserve">: </w:t>
      </w:r>
    </w:p>
    <w:p w:rsidR="00293650" w:rsidRPr="00293650" w:rsidRDefault="00293650" w:rsidP="004A69EC">
      <w:pPr>
        <w:rPr>
          <w:rFonts w:ascii="Cambria Math" w:hAnsi="Cambria Math" w:cs="Times New Roman"/>
          <w:sz w:val="22"/>
          <w:szCs w:val="22"/>
          <w:lang w:val="en-US"/>
          <w:oMath/>
        </w:rPr>
      </w:pPr>
      <m:oMathPara>
        <m:oMathParaPr>
          <m:jc m:val="left"/>
        </m:oMathParaPr>
        <m:oMath>
          <m:r>
            <w:rPr>
              <w:rFonts w:ascii="Cambria Math" w:hAnsi="Cambria Math" w:cs="Times New Roman"/>
              <w:sz w:val="22"/>
              <w:szCs w:val="22"/>
              <w:lang w:val="en-US"/>
            </w:rPr>
            <m:t xml:space="preserve">γ1. </m:t>
          </m:r>
          <m:r>
            <w:rPr>
              <w:rFonts w:ascii="Cambria Math" w:hAnsi="Cambria Math" w:cs="Cambria Math"/>
              <w:sz w:val="22"/>
              <w:szCs w:val="22"/>
              <w:lang w:val="en-US"/>
            </w:rPr>
            <m:t>∀</m:t>
          </m:r>
          <m:r>
            <w:rPr>
              <w:rFonts w:ascii="Cambria Math" w:hAnsi="Cambria Math" w:cs="Times New Roman"/>
              <w:sz w:val="22"/>
              <w:szCs w:val="22"/>
              <w:lang w:val="en-US"/>
            </w:rPr>
            <m:t xml:space="preserve">xyz[x · (y · z) = (x · y) · z] </m:t>
          </m:r>
        </m:oMath>
      </m:oMathPara>
    </w:p>
    <w:p w:rsidR="00293650" w:rsidRPr="00293650" w:rsidRDefault="00293650" w:rsidP="004A69EC">
      <w:pPr>
        <w:rPr>
          <w:rFonts w:ascii="Cambria Math" w:hAnsi="Cambria Math" w:cs="Times New Roman"/>
          <w:sz w:val="22"/>
          <w:szCs w:val="22"/>
          <w:lang w:val="en-US"/>
          <w:oMath/>
        </w:rPr>
      </w:pPr>
      <m:oMathPara>
        <m:oMathParaPr>
          <m:jc m:val="left"/>
        </m:oMathParaPr>
        <m:oMath>
          <m:r>
            <w:rPr>
              <w:rFonts w:ascii="Cambria Math" w:hAnsi="Cambria Math" w:cs="Times New Roman"/>
              <w:sz w:val="22"/>
              <w:szCs w:val="22"/>
              <w:lang w:val="en-US"/>
            </w:rPr>
            <m:t xml:space="preserve">γ2. </m:t>
          </m:r>
          <m:r>
            <w:rPr>
              <w:rFonts w:ascii="Cambria Math" w:hAnsi="Cambria Math" w:cs="Cambria Math"/>
              <w:sz w:val="22"/>
              <w:szCs w:val="22"/>
              <w:lang w:val="en-US"/>
            </w:rPr>
            <m:t>∃</m:t>
          </m:r>
          <m:r>
            <w:rPr>
              <w:rFonts w:ascii="Cambria Math" w:hAnsi="Cambria Math" w:cs="Times New Roman"/>
              <w:sz w:val="22"/>
              <w:szCs w:val="22"/>
              <w:lang w:val="en-US"/>
            </w:rPr>
            <m:t>u[</m:t>
          </m:r>
          <m:r>
            <w:rPr>
              <w:rFonts w:ascii="Cambria Math" w:hAnsi="Cambria Math" w:cs="Cambria Math"/>
              <w:sz w:val="22"/>
              <w:szCs w:val="22"/>
              <w:lang w:val="en-US"/>
            </w:rPr>
            <m:t>∀</m:t>
          </m:r>
          <m:r>
            <w:rPr>
              <w:rFonts w:ascii="Cambria Math" w:hAnsi="Cambria Math" w:cs="Times New Roman"/>
              <w:sz w:val="22"/>
              <w:szCs w:val="22"/>
              <w:lang w:val="en-US"/>
            </w:rPr>
            <m:t xml:space="preserve">x[x · u = u · x = x] </m:t>
          </m:r>
          <m:r>
            <w:rPr>
              <w:rFonts w:ascii="Cambria Math" w:hAnsi="Cambria Math" w:cs="Cambria Math"/>
              <w:sz w:val="22"/>
              <w:szCs w:val="22"/>
              <w:lang w:val="en-US"/>
            </w:rPr>
            <m:t>∧</m:t>
          </m:r>
          <m:r>
            <w:rPr>
              <w:rFonts w:ascii="Cambria Math" w:hAnsi="Cambria Math" w:cs="Times New Roman"/>
              <w:sz w:val="22"/>
              <w:szCs w:val="22"/>
              <w:lang w:val="en-US"/>
            </w:rPr>
            <m:t xml:space="preserve"> </m:t>
          </m:r>
          <m:r>
            <w:rPr>
              <w:rFonts w:ascii="Cambria Math" w:hAnsi="Cambria Math" w:cs="Cambria Math"/>
              <w:sz w:val="22"/>
              <w:szCs w:val="22"/>
              <w:lang w:val="en-US"/>
            </w:rPr>
            <m:t>∀</m:t>
          </m:r>
          <m:r>
            <w:rPr>
              <w:rFonts w:ascii="Cambria Math" w:hAnsi="Cambria Math" w:cs="Times New Roman"/>
              <w:sz w:val="22"/>
              <w:szCs w:val="22"/>
              <w:lang w:val="en-US"/>
            </w:rPr>
            <m:t>x</m:t>
          </m:r>
          <m:r>
            <w:rPr>
              <w:rFonts w:ascii="Cambria Math" w:hAnsi="Cambria Math" w:cs="Cambria Math"/>
              <w:sz w:val="22"/>
              <w:szCs w:val="22"/>
              <w:lang w:val="en-US"/>
            </w:rPr>
            <m:t>∃</m:t>
          </m:r>
          <m:r>
            <w:rPr>
              <w:rFonts w:ascii="Cambria Math" w:hAnsi="Cambria Math" w:cs="Times New Roman"/>
              <w:sz w:val="22"/>
              <w:szCs w:val="22"/>
              <w:lang w:val="en-US"/>
            </w:rPr>
            <m:t xml:space="preserve">y[x · y = y · x = u]] </m:t>
          </m:r>
        </m:oMath>
      </m:oMathPara>
    </w:p>
    <w:p w:rsidR="00E46967" w:rsidRDefault="004A69EC" w:rsidP="004A69EC">
      <w:pPr>
        <w:rPr>
          <w:rFonts w:ascii="Times New Roman" w:hAnsi="Times New Roman" w:cs="Times New Roman"/>
          <w:sz w:val="22"/>
          <w:szCs w:val="22"/>
          <w:lang w:val="en-US"/>
        </w:rPr>
      </w:pPr>
      <w:r w:rsidRPr="004A69EC">
        <w:rPr>
          <w:rFonts w:ascii="Times New Roman" w:hAnsi="Times New Roman" w:cs="Times New Roman"/>
          <w:sz w:val="22"/>
          <w:szCs w:val="22"/>
          <w:lang w:val="en-US"/>
        </w:rPr>
        <w:t xml:space="preserve">Here, we’re saying that G is a set and · is a function from </w:t>
      </w:r>
      <m:oMath>
        <m:r>
          <w:rPr>
            <w:rFonts w:ascii="Cambria Math" w:hAnsi="Cambria Math" w:cs="Times New Roman"/>
            <w:sz w:val="22"/>
            <w:szCs w:val="22"/>
            <w:lang w:val="en-US"/>
          </w:rPr>
          <m:t>G × G</m:t>
        </m:r>
      </m:oMath>
      <w:r w:rsidRPr="004A69EC">
        <w:rPr>
          <w:rFonts w:ascii="Times New Roman" w:hAnsi="Times New Roman" w:cs="Times New Roman"/>
          <w:sz w:val="22"/>
          <w:szCs w:val="22"/>
          <w:lang w:val="en-US"/>
        </w:rPr>
        <w:t xml:space="preserve"> into </w:t>
      </w:r>
      <m:oMath>
        <m:r>
          <w:rPr>
            <w:rFonts w:ascii="Cambria Math" w:hAnsi="Cambria Math" w:cs="Times New Roman"/>
            <w:sz w:val="22"/>
            <w:szCs w:val="22"/>
            <w:lang w:val="en-US"/>
          </w:rPr>
          <m:t>G</m:t>
        </m:r>
      </m:oMath>
      <w:r w:rsidRPr="004A69EC">
        <w:rPr>
          <w:rFonts w:ascii="Times New Roman" w:hAnsi="Times New Roman" w:cs="Times New Roman"/>
          <w:sz w:val="22"/>
          <w:szCs w:val="22"/>
          <w:lang w:val="en-US"/>
        </w:rPr>
        <w:t xml:space="preserve"> such that </w:t>
      </w:r>
      <m:oMath>
        <m:r>
          <w:rPr>
            <w:rFonts w:ascii="Cambria Math" w:hAnsi="Cambria Math" w:cs="Times New Roman"/>
            <w:sz w:val="22"/>
            <w:szCs w:val="22"/>
            <w:lang w:val="en-US"/>
          </w:rPr>
          <m:t>γ1</m:t>
        </m:r>
      </m:oMath>
      <w:r w:rsidRPr="004A69EC">
        <w:rPr>
          <w:rFonts w:ascii="Times New Roman" w:hAnsi="Times New Roman" w:cs="Times New Roman"/>
          <w:sz w:val="22"/>
          <w:szCs w:val="22"/>
          <w:lang w:val="en-US"/>
        </w:rPr>
        <w:t xml:space="preserve"> and </w:t>
      </w:r>
      <m:oMath>
        <m:r>
          <w:rPr>
            <w:rFonts w:ascii="Cambria Math" w:hAnsi="Cambria Math" w:cs="Times New Roman"/>
            <w:sz w:val="22"/>
            <w:szCs w:val="22"/>
            <w:lang w:val="en-US"/>
          </w:rPr>
          <m:t>γ2</m:t>
        </m:r>
      </m:oMath>
      <w:r w:rsidRPr="004A69EC">
        <w:rPr>
          <w:rFonts w:ascii="Times New Roman" w:hAnsi="Times New Roman" w:cs="Times New Roman"/>
          <w:sz w:val="22"/>
          <w:szCs w:val="22"/>
          <w:lang w:val="en-US"/>
        </w:rPr>
        <w:t xml:space="preserve"> hold in </w:t>
      </w:r>
      <m:oMath>
        <m:r>
          <w:rPr>
            <w:rFonts w:ascii="Cambria Math" w:hAnsi="Cambria Math" w:cs="Times New Roman"/>
            <w:sz w:val="22"/>
            <w:szCs w:val="22"/>
            <w:lang w:val="en-US"/>
          </w:rPr>
          <m:t>G</m:t>
        </m:r>
      </m:oMath>
      <w:r w:rsidRPr="004A69EC">
        <w:rPr>
          <w:rFonts w:ascii="Times New Roman" w:hAnsi="Times New Roman" w:cs="Times New Roman"/>
          <w:sz w:val="22"/>
          <w:szCs w:val="22"/>
          <w:lang w:val="en-US"/>
        </w:rPr>
        <w:t xml:space="preserve"> (with “</w:t>
      </w:r>
      <m:oMath>
        <m:r>
          <w:rPr>
            <w:rFonts w:ascii="Cambria Math" w:hAnsi="Cambria Math" w:cs="Cambria Math"/>
            <w:sz w:val="22"/>
            <w:szCs w:val="22"/>
            <w:lang w:val="en-US"/>
          </w:rPr>
          <m:t>∀</m:t>
        </m:r>
        <m:r>
          <w:rPr>
            <w:rFonts w:ascii="Cambria Math" w:hAnsi="Cambria Math" w:cs="Times New Roman"/>
            <w:sz w:val="22"/>
            <w:szCs w:val="22"/>
            <w:lang w:val="en-US"/>
          </w:rPr>
          <m:t>x</m:t>
        </m:r>
      </m:oMath>
      <w:r w:rsidRPr="004A69EC">
        <w:rPr>
          <w:rFonts w:ascii="Times New Roman" w:hAnsi="Times New Roman" w:cs="Times New Roman"/>
          <w:sz w:val="22"/>
          <w:szCs w:val="22"/>
          <w:lang w:val="en-US"/>
        </w:rPr>
        <w:t xml:space="preserve">” meaning “for all </w:t>
      </w:r>
      <m:oMath>
        <m:r>
          <w:rPr>
            <w:rFonts w:ascii="Cambria Math" w:hAnsi="Cambria Math" w:cs="Times New Roman"/>
            <w:sz w:val="22"/>
            <w:szCs w:val="22"/>
            <w:lang w:val="en-US"/>
          </w:rPr>
          <m:t xml:space="preserve">x </m:t>
        </m:r>
        <m:r>
          <w:rPr>
            <w:rFonts w:ascii="Cambria Math" w:hAnsi="Cambria Math" w:cs="Cambria Math"/>
            <w:sz w:val="22"/>
            <w:szCs w:val="22"/>
            <w:lang w:val="en-US"/>
          </w:rPr>
          <m:t>∈</m:t>
        </m:r>
        <m:r>
          <w:rPr>
            <w:rFonts w:ascii="Cambria Math" w:hAnsi="Cambria Math" w:cs="Times New Roman"/>
            <w:sz w:val="22"/>
            <w:szCs w:val="22"/>
            <w:lang w:val="en-US"/>
          </w:rPr>
          <m:t xml:space="preserve"> G</m:t>
        </m:r>
      </m:oMath>
      <w:r w:rsidRPr="004A69EC">
        <w:rPr>
          <w:rFonts w:ascii="Times New Roman" w:hAnsi="Times New Roman" w:cs="Times New Roman"/>
          <w:sz w:val="22"/>
          <w:szCs w:val="22"/>
          <w:lang w:val="en-US"/>
        </w:rPr>
        <w:t xml:space="preserve">”). Axiom </w:t>
      </w:r>
      <m:oMath>
        <m:r>
          <w:rPr>
            <w:rFonts w:ascii="Cambria Math" w:hAnsi="Cambria Math" w:cs="Times New Roman"/>
            <w:sz w:val="22"/>
            <w:szCs w:val="22"/>
          </w:rPr>
          <m:t>γ</m:t>
        </m:r>
        <m:r>
          <w:rPr>
            <w:rFonts w:ascii="Cambria Math" w:hAnsi="Cambria Math" w:cs="Times New Roman"/>
            <w:sz w:val="22"/>
            <w:szCs w:val="22"/>
            <w:lang w:val="en-US"/>
          </w:rPr>
          <m:t>1</m:t>
        </m:r>
      </m:oMath>
      <w:r w:rsidRPr="004A69EC">
        <w:rPr>
          <w:rFonts w:ascii="Times New Roman" w:hAnsi="Times New Roman" w:cs="Times New Roman"/>
          <w:sz w:val="22"/>
          <w:szCs w:val="22"/>
          <w:lang w:val="en-US"/>
        </w:rPr>
        <w:t xml:space="preserve"> is the associative law. Axiom </w:t>
      </w:r>
      <m:oMath>
        <m:r>
          <w:rPr>
            <w:rFonts w:ascii="Cambria Math" w:hAnsi="Cambria Math" w:cs="Times New Roman"/>
            <w:sz w:val="22"/>
            <w:szCs w:val="22"/>
          </w:rPr>
          <m:t>γ</m:t>
        </m:r>
        <m:r>
          <w:rPr>
            <w:rFonts w:ascii="Cambria Math" w:hAnsi="Cambria Math" w:cs="Times New Roman"/>
            <w:sz w:val="22"/>
            <w:szCs w:val="22"/>
            <w:lang w:val="en-US"/>
          </w:rPr>
          <m:t>2</m:t>
        </m:r>
      </m:oMath>
      <w:r w:rsidRPr="004A69EC">
        <w:rPr>
          <w:rFonts w:ascii="Times New Roman" w:hAnsi="Times New Roman" w:cs="Times New Roman"/>
          <w:sz w:val="22"/>
          <w:szCs w:val="22"/>
          <w:lang w:val="en-US"/>
        </w:rPr>
        <w:t xml:space="preserve"> says that there is an identity element </w:t>
      </w:r>
      <m:oMath>
        <m:r>
          <w:rPr>
            <w:rFonts w:ascii="Cambria Math" w:hAnsi="Cambria Math" w:cs="Times New Roman"/>
            <w:sz w:val="22"/>
            <w:szCs w:val="22"/>
            <w:lang w:val="en-US"/>
          </w:rPr>
          <m:t>u</m:t>
        </m:r>
      </m:oMath>
      <w:r w:rsidRPr="004A69EC">
        <w:rPr>
          <w:rFonts w:ascii="Times New Roman" w:hAnsi="Times New Roman" w:cs="Times New Roman"/>
          <w:sz w:val="22"/>
          <w:szCs w:val="22"/>
          <w:lang w:val="en-US"/>
        </w:rPr>
        <w:t xml:space="preserve">, and that for every </w:t>
      </w:r>
      <m:oMath>
        <m:r>
          <w:rPr>
            <w:rFonts w:ascii="Cambria Math" w:hAnsi="Cambria Math" w:cs="Times New Roman"/>
            <w:sz w:val="22"/>
            <w:szCs w:val="22"/>
            <w:lang w:val="en-US"/>
          </w:rPr>
          <m:t>x</m:t>
        </m:r>
      </m:oMath>
      <w:r w:rsidRPr="004A69EC">
        <w:rPr>
          <w:rFonts w:ascii="Times New Roman" w:hAnsi="Times New Roman" w:cs="Times New Roman"/>
          <w:sz w:val="22"/>
          <w:szCs w:val="22"/>
          <w:lang w:val="en-US"/>
        </w:rPr>
        <w:t xml:space="preserve">, there is an inverse </w:t>
      </w:r>
      <m:oMath>
        <m:r>
          <w:rPr>
            <w:rFonts w:ascii="Cambria Math" w:hAnsi="Cambria Math" w:cs="Times New Roman"/>
            <w:sz w:val="22"/>
            <w:szCs w:val="22"/>
            <w:lang w:val="en-US"/>
          </w:rPr>
          <m:t>y</m:t>
        </m:r>
      </m:oMath>
      <w:r w:rsidRPr="004A69EC">
        <w:rPr>
          <w:rFonts w:ascii="Times New Roman" w:hAnsi="Times New Roman" w:cs="Times New Roman"/>
          <w:sz w:val="22"/>
          <w:szCs w:val="22"/>
          <w:lang w:val="en-US"/>
        </w:rPr>
        <w:t xml:space="preserve">, such that </w:t>
      </w:r>
      <m:oMath>
        <m:r>
          <w:rPr>
            <w:rFonts w:ascii="Cambria Math" w:hAnsi="Cambria Math" w:cs="Times New Roman"/>
            <w:sz w:val="22"/>
            <w:szCs w:val="22"/>
            <w:lang w:val="en-US"/>
          </w:rPr>
          <m:t>xy = yx = u</m:t>
        </m:r>
      </m:oMath>
      <w:r w:rsidRPr="004A69EC">
        <w:rPr>
          <w:rFonts w:ascii="Times New Roman" w:hAnsi="Times New Roman" w:cs="Times New Roman"/>
          <w:sz w:val="22"/>
          <w:szCs w:val="22"/>
          <w:lang w:val="en-US"/>
        </w:rPr>
        <w:t>. From the axioms, one proves theorems. For example, the group axioms imply the cancellation rule. We say:</w:t>
      </w:r>
    </w:p>
    <w:p w:rsidR="00E46967" w:rsidRDefault="004A69EC" w:rsidP="004A69EC">
      <w:pPr>
        <w:rPr>
          <w:rFonts w:ascii="Times New Roman" w:hAnsi="Times New Roman" w:cs="Times New Roman"/>
          <w:sz w:val="22"/>
          <w:szCs w:val="22"/>
          <w:lang w:val="en-US"/>
        </w:rPr>
      </w:pPr>
      <w:r w:rsidRPr="004A69EC">
        <w:rPr>
          <w:rFonts w:ascii="Times New Roman" w:hAnsi="Times New Roman" w:cs="Times New Roman"/>
          <w:sz w:val="22"/>
          <w:szCs w:val="22"/>
          <w:lang w:val="en-US"/>
        </w:rPr>
        <w:t xml:space="preserve"> </w:t>
      </w:r>
      <m:oMath>
        <m:r>
          <w:rPr>
            <w:rFonts w:ascii="Cambria Math" w:hAnsi="Cambria Math" w:cs="Times New Roman"/>
            <w:sz w:val="22"/>
            <w:szCs w:val="22"/>
            <w:lang w:val="en-US"/>
          </w:rPr>
          <m:t xml:space="preserve">GP </m:t>
        </m:r>
        <m:r>
          <w:rPr>
            <w:rFonts w:ascii="Cambria Math" w:hAnsi="Cambria Math" w:cs="Cambria Math"/>
            <w:sz w:val="22"/>
            <w:szCs w:val="22"/>
            <w:lang w:val="en-US"/>
          </w:rPr>
          <m:t>⊢</m:t>
        </m:r>
        <m:r>
          <w:rPr>
            <w:rFonts w:ascii="Cambria Math" w:hAnsi="Cambria Math" w:cs="Times New Roman"/>
            <w:sz w:val="22"/>
            <w:szCs w:val="22"/>
            <w:lang w:val="en-US"/>
          </w:rPr>
          <m:t xml:space="preserve"> </m:t>
        </m:r>
        <m:r>
          <w:rPr>
            <w:rFonts w:ascii="Cambria Math" w:hAnsi="Cambria Math" w:cs="Cambria Math"/>
            <w:sz w:val="22"/>
            <w:szCs w:val="22"/>
            <w:lang w:val="en-US"/>
          </w:rPr>
          <m:t>∀</m:t>
        </m:r>
        <m:r>
          <w:rPr>
            <w:rFonts w:ascii="Cambria Math" w:hAnsi="Cambria Math" w:cs="Times New Roman"/>
            <w:sz w:val="22"/>
            <w:szCs w:val="22"/>
            <w:lang w:val="en-US"/>
          </w:rPr>
          <m:t>xyz[x · y = x · z → y = z].</m:t>
        </m:r>
      </m:oMath>
      <w:r w:rsidRPr="004A69EC">
        <w:rPr>
          <w:rFonts w:ascii="Times New Roman" w:hAnsi="Times New Roman" w:cs="Times New Roman"/>
          <w:sz w:val="22"/>
          <w:szCs w:val="22"/>
          <w:lang w:val="en-US"/>
        </w:rPr>
        <w:t xml:space="preserve"> </w:t>
      </w:r>
    </w:p>
    <w:p w:rsidR="004A69EC" w:rsidRDefault="004A69EC" w:rsidP="004A69EC">
      <w:pPr>
        <w:rPr>
          <w:rFonts w:ascii="Times New Roman" w:hAnsi="Times New Roman" w:cs="Times New Roman"/>
          <w:sz w:val="22"/>
          <w:szCs w:val="22"/>
          <w:lang w:val="en-US"/>
        </w:rPr>
      </w:pPr>
      <w:r w:rsidRPr="004A69EC">
        <w:rPr>
          <w:rFonts w:ascii="Times New Roman" w:hAnsi="Times New Roman" w:cs="Times New Roman"/>
          <w:sz w:val="22"/>
          <w:szCs w:val="22"/>
          <w:lang w:val="en-US"/>
        </w:rPr>
        <w:t>This turnstile symbol “</w:t>
      </w:r>
      <m:oMath>
        <m:r>
          <w:rPr>
            <w:rFonts w:ascii="Cambria Math" w:hAnsi="Cambria Math" w:cs="Cambria Math"/>
            <w:sz w:val="22"/>
            <w:szCs w:val="22"/>
            <w:lang w:val="en-US"/>
          </w:rPr>
          <m:t>⊢</m:t>
        </m:r>
      </m:oMath>
      <w:r w:rsidRPr="004A69EC">
        <w:rPr>
          <w:rFonts w:ascii="Times New Roman" w:hAnsi="Times New Roman" w:cs="Times New Roman"/>
          <w:sz w:val="22"/>
          <w:szCs w:val="22"/>
          <w:lang w:val="en-US"/>
        </w:rPr>
        <w:t xml:space="preserve">” is read “proves”. This formal presentation is definitely not a direct quote from Cayley, who stated his axioms in English. Rather, it is influenced by the mathematical logic and set theory of the 1900s. Prior to that, axioms were stated in a natural language (e.g., Greek, English, etc.), and proofs were just given in “ordinary reasoning”; exactly what a proof is was not formally analyzed. This is still the case now in most of mathematics. Logical symbols are frequently used as abbreviations of English words, but most math books assume that you can recognize a correct proof when you </w:t>
      </w:r>
      <w:r w:rsidR="003A4CE1">
        <w:rPr>
          <w:rFonts w:ascii="Times New Roman" w:hAnsi="Times New Roman" w:cs="Times New Roman"/>
          <w:sz w:val="22"/>
          <w:szCs w:val="22"/>
          <w:lang w:val="en-US"/>
        </w:rPr>
        <w:t>see it, without formal analysis</w:t>
      </w:r>
      <w:r w:rsidRPr="004A69EC">
        <w:rPr>
          <w:rFonts w:ascii="Times New Roman" w:hAnsi="Times New Roman" w:cs="Times New Roman"/>
          <w:sz w:val="22"/>
          <w:szCs w:val="22"/>
          <w:lang w:val="en-US"/>
        </w:rPr>
        <w:t xml:space="preserve">. This formal analysis makes a clear distinction between syntax and semantics. GP is viewed as a set of two sentences in predicate logic; this is a formal language with precise rules of formation (just like computer languages such as C or java or TEX or html). A formal proof is then a finite sequence of sentences in this formal language obeying some precisely defined rules of inference – for example, the Modus Ponens rule says that from </w:t>
      </w:r>
      <m:oMath>
        <m:r>
          <w:rPr>
            <w:rFonts w:ascii="Cambria Math" w:hAnsi="Cambria Math" w:cs="Times New Roman"/>
            <w:sz w:val="22"/>
            <w:szCs w:val="22"/>
          </w:rPr>
          <m:t>ϕ</m:t>
        </m:r>
        <m:r>
          <w:rPr>
            <w:rFonts w:ascii="Cambria Math" w:hAnsi="Cambria Math" w:cs="Times New Roman"/>
            <w:sz w:val="22"/>
            <w:szCs w:val="22"/>
            <w:lang w:val="en-US"/>
          </w:rPr>
          <m:t xml:space="preserve"> → </m:t>
        </m:r>
        <m:r>
          <w:rPr>
            <w:rFonts w:ascii="Cambria Math" w:hAnsi="Cambria Math" w:cs="Times New Roman"/>
            <w:sz w:val="22"/>
            <w:szCs w:val="22"/>
          </w:rPr>
          <m:t>ψ</m:t>
        </m:r>
      </m:oMath>
      <w:r w:rsidRPr="004A69EC">
        <w:rPr>
          <w:rFonts w:ascii="Times New Roman" w:hAnsi="Times New Roman" w:cs="Times New Roman"/>
          <w:sz w:val="22"/>
          <w:szCs w:val="22"/>
          <w:lang w:val="en-US"/>
        </w:rPr>
        <w:t xml:space="preserve"> and </w:t>
      </w:r>
      <m:oMath>
        <m:r>
          <w:rPr>
            <w:rFonts w:ascii="Cambria Math" w:hAnsi="Cambria Math" w:cs="Times New Roman"/>
            <w:sz w:val="22"/>
            <w:szCs w:val="22"/>
          </w:rPr>
          <m:t>ϕ</m:t>
        </m:r>
      </m:oMath>
      <w:r w:rsidRPr="004A69EC">
        <w:rPr>
          <w:rFonts w:ascii="Times New Roman" w:hAnsi="Times New Roman" w:cs="Times New Roman"/>
          <w:sz w:val="22"/>
          <w:szCs w:val="22"/>
          <w:lang w:val="en-US"/>
        </w:rPr>
        <w:t xml:space="preserve"> you can infer </w:t>
      </w:r>
      <m:oMath>
        <m:r>
          <w:rPr>
            <w:rFonts w:ascii="Cambria Math" w:hAnsi="Cambria Math" w:cs="Times New Roman"/>
            <w:sz w:val="22"/>
            <w:szCs w:val="22"/>
          </w:rPr>
          <m:t>ψ</m:t>
        </m:r>
      </m:oMath>
      <w:r w:rsidRPr="004A69EC">
        <w:rPr>
          <w:rFonts w:ascii="Times New Roman" w:hAnsi="Times New Roman" w:cs="Times New Roman"/>
          <w:sz w:val="22"/>
          <w:szCs w:val="22"/>
          <w:lang w:val="en-US"/>
        </w:rPr>
        <w:t xml:space="preserve">. So, the sentences of predicate logic and the formal proofs are syntactic objects. The syntax and semantics are related by the Completeness Theorem which says that </w:t>
      </w:r>
      <m:oMath>
        <m:r>
          <w:rPr>
            <w:rFonts w:ascii="Cambria Math" w:hAnsi="Cambria Math" w:cs="Times New Roman"/>
            <w:sz w:val="22"/>
            <w:szCs w:val="22"/>
            <w:lang w:val="en-US"/>
          </w:rPr>
          <m:t xml:space="preserve">GP </m:t>
        </m:r>
        <m:r>
          <w:rPr>
            <w:rFonts w:ascii="Cambria Math" w:hAnsi="Cambria Math" w:cs="Cambria Math"/>
            <w:sz w:val="22"/>
            <w:szCs w:val="22"/>
            <w:lang w:val="en-US"/>
          </w:rPr>
          <m:t>⊢</m:t>
        </m:r>
        <m:r>
          <w:rPr>
            <w:rFonts w:ascii="Cambria Math" w:hAnsi="Cambria Math" w:cs="Times New Roman"/>
            <w:sz w:val="22"/>
            <w:szCs w:val="22"/>
            <w:lang w:val="en-US"/>
          </w:rPr>
          <m:t xml:space="preserve"> </m:t>
        </m:r>
        <m:r>
          <w:rPr>
            <w:rFonts w:ascii="Cambria Math" w:hAnsi="Cambria Math" w:cs="Times New Roman"/>
            <w:sz w:val="22"/>
            <w:szCs w:val="22"/>
          </w:rPr>
          <m:t>ϕ</m:t>
        </m:r>
      </m:oMath>
      <w:r w:rsidRPr="004A69EC">
        <w:rPr>
          <w:rFonts w:ascii="Times New Roman" w:hAnsi="Times New Roman" w:cs="Times New Roman"/>
          <w:sz w:val="22"/>
          <w:szCs w:val="22"/>
          <w:lang w:val="en-US"/>
        </w:rPr>
        <w:t xml:space="preserve"> iff </w:t>
      </w:r>
      <m:oMath>
        <m:r>
          <w:rPr>
            <w:rStyle w:val="af2"/>
            <w:rFonts w:ascii="Cambria Math" w:hAnsi="Cambria Math" w:cs="Times New Roman"/>
            <w:i/>
            <w:sz w:val="22"/>
            <w:szCs w:val="22"/>
          </w:rPr>
          <w:footnoteReference w:id="1"/>
        </m:r>
        <m:r>
          <w:rPr>
            <w:rFonts w:ascii="Cambria Math" w:hAnsi="Cambria Math" w:cs="Times New Roman"/>
            <w:sz w:val="22"/>
            <w:szCs w:val="22"/>
          </w:rPr>
          <m:t>ϕ</m:t>
        </m:r>
      </m:oMath>
      <w:r w:rsidRPr="004A69EC">
        <w:rPr>
          <w:rFonts w:ascii="Times New Roman" w:hAnsi="Times New Roman" w:cs="Times New Roman"/>
          <w:sz w:val="22"/>
          <w:szCs w:val="22"/>
          <w:lang w:val="en-US"/>
        </w:rPr>
        <w:t xml:space="preserve"> is true in all groups. After the Completeness Theorem, model theory and proof theory diverge. Proof theory studies more deeply the structure of formal proofs, whereas model theory emphasizes primarily the semantics – that is, the mathematical structure of the models. For example, let </w:t>
      </w:r>
      <m:oMath>
        <m:r>
          <w:rPr>
            <w:rFonts w:ascii="Cambria Math" w:hAnsi="Cambria Math" w:cs="Times New Roman"/>
            <w:sz w:val="22"/>
            <w:szCs w:val="22"/>
            <w:lang w:val="en-US"/>
          </w:rPr>
          <m:t>G</m:t>
        </m:r>
      </m:oMath>
      <w:r w:rsidRPr="004A69EC">
        <w:rPr>
          <w:rFonts w:ascii="Times New Roman" w:hAnsi="Times New Roman" w:cs="Times New Roman"/>
          <w:sz w:val="22"/>
          <w:szCs w:val="22"/>
          <w:lang w:val="en-US"/>
        </w:rPr>
        <w:t xml:space="preserve"> be an infinite group. Then </w:t>
      </w:r>
      <m:oMath>
        <m:r>
          <w:rPr>
            <w:rFonts w:ascii="Cambria Math" w:hAnsi="Cambria Math" w:cs="Times New Roman"/>
            <w:sz w:val="22"/>
            <w:szCs w:val="22"/>
            <w:lang w:val="en-US"/>
          </w:rPr>
          <m:t>G</m:t>
        </m:r>
      </m:oMath>
      <w:r w:rsidRPr="004A69EC">
        <w:rPr>
          <w:rFonts w:ascii="Times New Roman" w:hAnsi="Times New Roman" w:cs="Times New Roman"/>
          <w:sz w:val="22"/>
          <w:szCs w:val="22"/>
          <w:lang w:val="en-US"/>
        </w:rPr>
        <w:t xml:space="preserve"> has a subgroup </w:t>
      </w:r>
      <m:oMath>
        <m:r>
          <w:rPr>
            <w:rFonts w:ascii="Cambria Math" w:hAnsi="Cambria Math" w:cs="Times New Roman"/>
            <w:sz w:val="22"/>
            <w:szCs w:val="22"/>
            <w:lang w:val="en-US"/>
          </w:rPr>
          <w:lastRenderedPageBreak/>
          <m:t xml:space="preserve">H </m:t>
        </m:r>
        <m:r>
          <w:rPr>
            <w:rFonts w:ascii="Cambria Math" w:hAnsi="Cambria Math" w:cs="Cambria Math"/>
            <w:sz w:val="22"/>
            <w:szCs w:val="22"/>
            <w:lang w:val="en-US"/>
          </w:rPr>
          <m:t>⊆</m:t>
        </m:r>
        <m:r>
          <w:rPr>
            <w:rFonts w:ascii="Cambria Math" w:hAnsi="Cambria Math" w:cs="Times New Roman"/>
            <w:sz w:val="22"/>
            <w:szCs w:val="22"/>
            <w:lang w:val="en-US"/>
          </w:rPr>
          <m:t xml:space="preserve"> G</m:t>
        </m:r>
      </m:oMath>
      <w:r w:rsidRPr="004A69EC">
        <w:rPr>
          <w:rFonts w:ascii="Times New Roman" w:hAnsi="Times New Roman" w:cs="Times New Roman"/>
          <w:sz w:val="22"/>
          <w:szCs w:val="22"/>
          <w:lang w:val="en-US"/>
        </w:rPr>
        <w:t xml:space="preserve"> which is countably infinite. Also, given any cardinal number </w:t>
      </w:r>
      <m:oMath>
        <m:r>
          <w:rPr>
            <w:rFonts w:ascii="Cambria Math" w:hAnsi="Cambria Math" w:cs="Times New Roman"/>
            <w:sz w:val="22"/>
            <w:szCs w:val="22"/>
          </w:rPr>
          <m:t>κ</m:t>
        </m:r>
        <m:r>
          <w:rPr>
            <w:rFonts w:ascii="Cambria Math" w:hAnsi="Cambria Math" w:cs="Times New Roman"/>
            <w:sz w:val="22"/>
            <w:szCs w:val="22"/>
            <w:lang w:val="en-US"/>
          </w:rPr>
          <m:t xml:space="preserve"> ≥ |G|</m:t>
        </m:r>
      </m:oMath>
      <w:r w:rsidRPr="004A69EC">
        <w:rPr>
          <w:rFonts w:ascii="Times New Roman" w:hAnsi="Times New Roman" w:cs="Times New Roman"/>
          <w:sz w:val="22"/>
          <w:szCs w:val="22"/>
          <w:lang w:val="en-US"/>
        </w:rPr>
        <w:t xml:space="preserve">, there is a group </w:t>
      </w:r>
      <m:oMath>
        <m:r>
          <w:rPr>
            <w:rFonts w:ascii="Cambria Math" w:hAnsi="Cambria Math" w:cs="Times New Roman"/>
            <w:sz w:val="22"/>
            <w:szCs w:val="22"/>
            <w:lang w:val="en-US"/>
          </w:rPr>
          <m:t xml:space="preserve">K </m:t>
        </m:r>
        <m:r>
          <w:rPr>
            <w:rFonts w:ascii="Cambria Math" w:hAnsi="Cambria Math" w:cs="Cambria Math"/>
            <w:sz w:val="22"/>
            <w:szCs w:val="22"/>
            <w:lang w:val="en-US"/>
          </w:rPr>
          <m:t>⊇</m:t>
        </m:r>
        <m:r>
          <w:rPr>
            <w:rFonts w:ascii="Cambria Math" w:hAnsi="Cambria Math" w:cs="Times New Roman"/>
            <w:sz w:val="22"/>
            <w:szCs w:val="22"/>
            <w:lang w:val="en-US"/>
          </w:rPr>
          <m:t xml:space="preserve"> G</m:t>
        </m:r>
      </m:oMath>
      <w:r w:rsidRPr="004A69EC">
        <w:rPr>
          <w:rFonts w:ascii="Times New Roman" w:hAnsi="Times New Roman" w:cs="Times New Roman"/>
          <w:sz w:val="22"/>
          <w:szCs w:val="22"/>
          <w:lang w:val="en-US"/>
        </w:rPr>
        <w:t xml:space="preserve"> of size </w:t>
      </w:r>
      <m:oMath>
        <m:r>
          <w:rPr>
            <w:rFonts w:ascii="Cambria Math" w:hAnsi="Cambria Math" w:cs="Times New Roman"/>
            <w:sz w:val="22"/>
            <w:szCs w:val="22"/>
          </w:rPr>
          <m:t>κ</m:t>
        </m:r>
      </m:oMath>
      <w:r w:rsidRPr="004A69EC">
        <w:rPr>
          <w:rFonts w:ascii="Times New Roman" w:hAnsi="Times New Roman" w:cs="Times New Roman"/>
          <w:sz w:val="22"/>
          <w:szCs w:val="22"/>
          <w:lang w:val="en-US"/>
        </w:rPr>
        <w:t xml:space="preserve">. Proving these statements is an easy algebra exercises if you know some set theory. These statements are part of model theory, not group theory, because they are special cases of the L¨owenheim–Skolem-Tarski Theorem, which applies to models of arbitrary theories. You can also get </w:t>
      </w:r>
      <m:oMath>
        <m:r>
          <w:rPr>
            <w:rFonts w:ascii="Cambria Math" w:hAnsi="Cambria Math" w:cs="Times New Roman"/>
            <w:sz w:val="22"/>
            <w:szCs w:val="22"/>
            <w:lang w:val="en-US"/>
          </w:rPr>
          <m:t>H, K</m:t>
        </m:r>
      </m:oMath>
      <w:r w:rsidRPr="004A69EC">
        <w:rPr>
          <w:rFonts w:ascii="Times New Roman" w:hAnsi="Times New Roman" w:cs="Times New Roman"/>
          <w:sz w:val="22"/>
          <w:szCs w:val="22"/>
          <w:lang w:val="en-US"/>
        </w:rPr>
        <w:t xml:space="preserve"> to satisfy all the first-order properties true in </w:t>
      </w:r>
      <m:oMath>
        <m:r>
          <w:rPr>
            <w:rFonts w:ascii="Cambria Math" w:hAnsi="Cambria Math" w:cs="Times New Roman"/>
            <w:sz w:val="22"/>
            <w:szCs w:val="22"/>
            <w:lang w:val="en-US"/>
          </w:rPr>
          <m:t>G</m:t>
        </m:r>
      </m:oMath>
      <w:r w:rsidRPr="004A69EC">
        <w:rPr>
          <w:rFonts w:ascii="Times New Roman" w:hAnsi="Times New Roman" w:cs="Times New Roman"/>
          <w:sz w:val="22"/>
          <w:szCs w:val="22"/>
          <w:lang w:val="en-US"/>
        </w:rPr>
        <w:t xml:space="preserve">. For example if </w:t>
      </w:r>
      <m:oMath>
        <m:r>
          <w:rPr>
            <w:rFonts w:ascii="Cambria Math" w:hAnsi="Cambria Math" w:cs="Times New Roman"/>
            <w:sz w:val="22"/>
            <w:szCs w:val="22"/>
            <w:lang w:val="en-US"/>
          </w:rPr>
          <m:t>G</m:t>
        </m:r>
      </m:oMath>
      <w:r w:rsidRPr="004A69EC">
        <w:rPr>
          <w:rFonts w:ascii="Times New Roman" w:hAnsi="Times New Roman" w:cs="Times New Roman"/>
          <w:sz w:val="22"/>
          <w:szCs w:val="22"/>
          <w:lang w:val="en-US"/>
        </w:rPr>
        <w:t xml:space="preserve"> is non-abelian, then </w:t>
      </w:r>
      <m:oMath>
        <m:r>
          <w:rPr>
            <w:rFonts w:ascii="Cambria Math" w:hAnsi="Cambria Math" w:cs="Times New Roman"/>
            <w:sz w:val="22"/>
            <w:szCs w:val="22"/>
            <w:lang w:val="en-US"/>
          </w:rPr>
          <m:t>H, K</m:t>
        </m:r>
      </m:oMath>
      <w:r w:rsidRPr="004A69EC">
        <w:rPr>
          <w:rFonts w:ascii="Times New Roman" w:hAnsi="Times New Roman" w:cs="Times New Roman"/>
          <w:sz w:val="22"/>
          <w:szCs w:val="22"/>
          <w:lang w:val="en-US"/>
        </w:rPr>
        <w:t xml:space="preserve"> will be also. Likewise for other properties, such as “abelian” or “3-divisible” </w:t>
      </w:r>
      <m:oMath>
        <m:r>
          <w:rPr>
            <w:rFonts w:ascii="Cambria Math" w:hAnsi="Cambria Math" w:cs="Times New Roman"/>
            <w:sz w:val="22"/>
            <w:szCs w:val="22"/>
            <w:lang w:val="en-US"/>
          </w:rPr>
          <m:t>(</m:t>
        </m:r>
        <m:r>
          <w:rPr>
            <w:rFonts w:ascii="Cambria Math" w:hAnsi="Cambria Math" w:cs="Cambria Math"/>
            <w:sz w:val="22"/>
            <w:szCs w:val="22"/>
            <w:lang w:val="en-US"/>
          </w:rPr>
          <m:t>∀</m:t>
        </m:r>
        <m:r>
          <w:rPr>
            <w:rFonts w:ascii="Cambria Math" w:hAnsi="Cambria Math" w:cs="Times New Roman"/>
            <w:sz w:val="22"/>
            <w:szCs w:val="22"/>
            <w:lang w:val="en-US"/>
          </w:rPr>
          <m:t>x</m:t>
        </m:r>
        <m:r>
          <w:rPr>
            <w:rFonts w:ascii="Cambria Math" w:hAnsi="Cambria Math" w:cs="Cambria Math"/>
            <w:sz w:val="22"/>
            <w:szCs w:val="22"/>
            <w:lang w:val="en-US"/>
          </w:rPr>
          <m:t>∃</m:t>
        </m:r>
        <m:r>
          <w:rPr>
            <w:rFonts w:ascii="Cambria Math" w:hAnsi="Cambria Math" w:cs="Times New Roman"/>
            <w:sz w:val="22"/>
            <w:szCs w:val="22"/>
            <w:lang w:val="en-US"/>
          </w:rPr>
          <m:t>y(yyy = x))</m:t>
        </m:r>
      </m:oMath>
      <w:r w:rsidRPr="004A69EC">
        <w:rPr>
          <w:rFonts w:ascii="Times New Roman" w:hAnsi="Times New Roman" w:cs="Times New Roman"/>
          <w:sz w:val="22"/>
          <w:szCs w:val="22"/>
          <w:lang w:val="en-US"/>
        </w:rPr>
        <w:t>. The proof, along with the definition of “first-order”, is part of model theory, but the proof uses facts about cardinal numbers from set theory</w:t>
      </w:r>
      <w:r w:rsidR="009C6F53">
        <w:rPr>
          <w:rFonts w:ascii="Times New Roman" w:hAnsi="Times New Roman" w:cs="Times New Roman"/>
          <w:sz w:val="22"/>
          <w:szCs w:val="22"/>
          <w:lang w:val="en-US"/>
        </w:rPr>
        <w:t>.</w:t>
      </w:r>
    </w:p>
    <w:p w:rsidR="00C0294F" w:rsidRPr="00B157B7" w:rsidRDefault="00A84553" w:rsidP="004A69EC">
      <w:pPr>
        <w:rPr>
          <w:rFonts w:ascii="Times New Roman" w:hAnsi="Times New Roman" w:cs="Times New Roman"/>
          <w:color w:val="FFFFFF" w:themeColor="background1"/>
          <w:sz w:val="22"/>
          <w:szCs w:val="22"/>
          <w:lang w:val="en-US"/>
        </w:rPr>
      </w:pPr>
      <w:r w:rsidRPr="00B157B7">
        <w:rPr>
          <w:rStyle w:val="af2"/>
          <w:rFonts w:ascii="Times New Roman" w:hAnsi="Times New Roman" w:cs="Times New Roman"/>
          <w:color w:val="FFFFFF" w:themeColor="background1"/>
          <w:sz w:val="22"/>
          <w:szCs w:val="22"/>
          <w:lang w:val="en-US"/>
        </w:rPr>
        <w:footnoteReference w:id="2"/>
      </w:r>
    </w:p>
    <w:p w:rsidR="003D1868" w:rsidRPr="004A69EC" w:rsidRDefault="003D1868">
      <w:pPr>
        <w:rPr>
          <w:rFonts w:ascii="Times New Roman" w:hAnsi="Times New Roman" w:cs="Times New Roman"/>
          <w:sz w:val="22"/>
          <w:szCs w:val="22"/>
          <w:lang w:val="en-US"/>
        </w:rPr>
      </w:pPr>
      <w:bookmarkStart w:id="0" w:name="_GoBack"/>
      <w:bookmarkEnd w:id="0"/>
    </w:p>
    <w:sectPr w:rsidR="003D1868" w:rsidRPr="004A69E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DA7" w:rsidRDefault="00DC1DA7" w:rsidP="00A73D3F">
      <w:pPr>
        <w:spacing w:after="0" w:line="240" w:lineRule="auto"/>
      </w:pPr>
      <w:r>
        <w:separator/>
      </w:r>
    </w:p>
  </w:endnote>
  <w:endnote w:type="continuationSeparator" w:id="0">
    <w:p w:rsidR="00DC1DA7" w:rsidRDefault="00DC1DA7" w:rsidP="00A73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DA7" w:rsidRDefault="00DC1DA7" w:rsidP="00A73D3F">
      <w:pPr>
        <w:spacing w:after="0" w:line="240" w:lineRule="auto"/>
      </w:pPr>
      <w:r>
        <w:separator/>
      </w:r>
    </w:p>
  </w:footnote>
  <w:footnote w:type="continuationSeparator" w:id="0">
    <w:p w:rsidR="00DC1DA7" w:rsidRDefault="00DC1DA7" w:rsidP="00A73D3F">
      <w:pPr>
        <w:spacing w:after="0" w:line="240" w:lineRule="auto"/>
      </w:pPr>
      <w:r>
        <w:continuationSeparator/>
      </w:r>
    </w:p>
  </w:footnote>
  <w:footnote w:id="1">
    <w:p w:rsidR="00A73D3F" w:rsidRPr="00A73D3F" w:rsidRDefault="00A73D3F">
      <w:pPr>
        <w:pStyle w:val="af0"/>
        <w:rPr>
          <w:rFonts w:ascii="Times New Roman" w:hAnsi="Times New Roman" w:cs="Times New Roman"/>
          <w:sz w:val="18"/>
          <w:szCs w:val="18"/>
        </w:rPr>
      </w:pPr>
      <w:r w:rsidRPr="00A73D3F">
        <w:rPr>
          <w:rStyle w:val="af2"/>
          <w:rFonts w:ascii="Times New Roman" w:hAnsi="Times New Roman" w:cs="Times New Roman"/>
          <w:sz w:val="18"/>
          <w:szCs w:val="18"/>
        </w:rPr>
        <w:footnoteRef/>
      </w:r>
      <w:r w:rsidRPr="00A73D3F">
        <w:rPr>
          <w:rFonts w:ascii="Times New Roman" w:hAnsi="Times New Roman" w:cs="Times New Roman"/>
          <w:sz w:val="18"/>
          <w:szCs w:val="18"/>
        </w:rPr>
        <w:t xml:space="preserve"> If and only if</w:t>
      </w:r>
    </w:p>
  </w:footnote>
  <w:footnote w:id="2">
    <w:p w:rsidR="00A84553" w:rsidRPr="00A84553" w:rsidRDefault="00A84553" w:rsidP="002E55E3">
      <w:pPr>
        <w:pStyle w:val="af0"/>
        <w:ind w:left="709" w:firstLine="0"/>
        <w:rPr>
          <w:lang w:val="en-US"/>
        </w:rPr>
      </w:pPr>
      <w:r w:rsidRPr="00EA5E87">
        <w:rPr>
          <w:rStyle w:val="af2"/>
          <w:color w:val="FFFFFF" w:themeColor="background1"/>
        </w:rPr>
        <w:footnoteRef/>
      </w:r>
      <w:r w:rsidRPr="00A84553">
        <w:rPr>
          <w:lang w:val="en-US"/>
        </w:rPr>
        <w:t xml:space="preserve"> </w:t>
      </w:r>
      <w:r w:rsidRPr="00A84553">
        <w:rPr>
          <w:lang w:val="en-US"/>
        </w:rPr>
        <w:t>Kenneth Kunen</w:t>
      </w:r>
      <w:r>
        <w:rPr>
          <w:lang w:val="en-US"/>
        </w:rPr>
        <w:t xml:space="preserve"> (</w:t>
      </w:r>
      <w:r w:rsidRPr="00A84553">
        <w:rPr>
          <w:lang w:val="en-US"/>
        </w:rPr>
        <w:t>2007</w:t>
      </w:r>
      <w:r>
        <w:rPr>
          <w:lang w:val="en-US"/>
        </w:rPr>
        <w:t xml:space="preserve">) </w:t>
      </w:r>
      <w:r w:rsidRPr="00A84553">
        <w:rPr>
          <w:lang w:val="en-US"/>
        </w:rPr>
        <w:t>The Foundations of Mathematics</w:t>
      </w:r>
      <w:r>
        <w:rPr>
          <w:lang w:val="en-US"/>
        </w:rPr>
        <w:t xml:space="preserve">, </w:t>
      </w:r>
      <w:r w:rsidR="00B157B7">
        <w:rPr>
          <w:lang w:val="en-US"/>
        </w:rPr>
        <w:fldChar w:fldCharType="begin"/>
      </w:r>
      <w:r w:rsidR="00B157B7">
        <w:rPr>
          <w:lang w:val="en-US"/>
        </w:rPr>
        <w:instrText xml:space="preserve"> HYPERLINK "http://</w:instrText>
      </w:r>
      <w:r w:rsidR="00B157B7" w:rsidRPr="00B157B7">
        <w:rPr>
          <w:lang w:val="en-US"/>
        </w:rPr>
        <w:br/>
        <w:instrText>www.math.wisc.edu/~miller/old/m771-10/kunen770.pdf</w:instrText>
      </w:r>
      <w:r w:rsidR="00B157B7">
        <w:rPr>
          <w:lang w:val="en-US"/>
        </w:rPr>
        <w:instrText xml:space="preserve">" </w:instrText>
      </w:r>
      <w:r w:rsidR="00B157B7">
        <w:rPr>
          <w:lang w:val="en-US"/>
        </w:rPr>
        <w:fldChar w:fldCharType="separate"/>
      </w:r>
      <w:r w:rsidR="00B157B7" w:rsidRPr="00E17966">
        <w:rPr>
          <w:rStyle w:val="af6"/>
          <w:lang w:val="en-US"/>
        </w:rPr>
        <w:br/>
        <w:t>www.math.wisc.edu/~miller/old/m771-10/kunen770.pdf</w:t>
      </w:r>
      <w:r w:rsidR="00B157B7">
        <w:rPr>
          <w:lang w:val="en-US"/>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2D"/>
    <w:rsid w:val="000122D3"/>
    <w:rsid w:val="00245E3A"/>
    <w:rsid w:val="002660BB"/>
    <w:rsid w:val="00280218"/>
    <w:rsid w:val="00293650"/>
    <w:rsid w:val="002E55E3"/>
    <w:rsid w:val="00351A3E"/>
    <w:rsid w:val="003A4CE1"/>
    <w:rsid w:val="003D1868"/>
    <w:rsid w:val="004A69EC"/>
    <w:rsid w:val="0061390A"/>
    <w:rsid w:val="00661DE9"/>
    <w:rsid w:val="0074212D"/>
    <w:rsid w:val="0077290C"/>
    <w:rsid w:val="007A583F"/>
    <w:rsid w:val="009C6F53"/>
    <w:rsid w:val="00A73D3F"/>
    <w:rsid w:val="00A84553"/>
    <w:rsid w:val="00B157B7"/>
    <w:rsid w:val="00B56D2B"/>
    <w:rsid w:val="00C0294F"/>
    <w:rsid w:val="00DC1DA7"/>
    <w:rsid w:val="00E46967"/>
    <w:rsid w:val="00EA5E87"/>
    <w:rsid w:val="00F930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7D1A"/>
  <w15:chartTrackingRefBased/>
  <w15:docId w15:val="{D1BE5216-0068-473D-BD3A-D39A868D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8"/>
        <w:lang w:val="ru-RU" w:eastAsia="en-US" w:bidi="ar-SA"/>
      </w:rPr>
    </w:rPrDefault>
    <w:pPrDefault>
      <w:pPr>
        <w:spacing w:after="16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0218"/>
  </w:style>
  <w:style w:type="paragraph" w:styleId="1">
    <w:name w:val="heading 1"/>
    <w:basedOn w:val="a"/>
    <w:next w:val="a"/>
    <w:link w:val="10"/>
    <w:uiPriority w:val="9"/>
    <w:qFormat/>
    <w:rsid w:val="00280218"/>
    <w:pPr>
      <w:keepNext/>
      <w:keepLines/>
      <w:spacing w:before="240" w:after="0" w:line="276" w:lineRule="auto"/>
      <w:ind w:firstLine="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80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Заголовок 0"/>
    <w:basedOn w:val="1"/>
    <w:next w:val="a"/>
    <w:link w:val="00"/>
    <w:qFormat/>
    <w:rsid w:val="00280218"/>
    <w:pPr>
      <w:spacing w:before="40" w:line="259" w:lineRule="auto"/>
      <w:ind w:firstLine="708"/>
      <w:jc w:val="center"/>
    </w:pPr>
    <w:rPr>
      <w:rFonts w:ascii="Times New Roman" w:hAnsi="Times New Roman"/>
      <w:b/>
      <w:szCs w:val="24"/>
    </w:rPr>
  </w:style>
  <w:style w:type="character" w:customStyle="1" w:styleId="00">
    <w:name w:val="Заголовок 0 Знак"/>
    <w:basedOn w:val="10"/>
    <w:link w:val="0"/>
    <w:rsid w:val="00280218"/>
    <w:rPr>
      <w:rFonts w:ascii="Times New Roman" w:eastAsiaTheme="majorEastAsia" w:hAnsi="Times New Roman" w:cstheme="majorBidi"/>
      <w:b/>
      <w:color w:val="2E74B5" w:themeColor="accent1" w:themeShade="BF"/>
      <w:sz w:val="32"/>
      <w:szCs w:val="24"/>
    </w:rPr>
  </w:style>
  <w:style w:type="character" w:customStyle="1" w:styleId="10">
    <w:name w:val="Заголовок 1 Знак"/>
    <w:basedOn w:val="a0"/>
    <w:link w:val="1"/>
    <w:uiPriority w:val="9"/>
    <w:rsid w:val="0028021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280218"/>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28021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80218"/>
    <w:rPr>
      <w:sz w:val="28"/>
      <w:szCs w:val="28"/>
    </w:rPr>
  </w:style>
  <w:style w:type="paragraph" w:styleId="a5">
    <w:name w:val="footer"/>
    <w:basedOn w:val="a"/>
    <w:link w:val="a6"/>
    <w:uiPriority w:val="99"/>
    <w:unhideWhenUsed/>
    <w:rsid w:val="0028021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80218"/>
    <w:rPr>
      <w:sz w:val="28"/>
      <w:szCs w:val="28"/>
    </w:rPr>
  </w:style>
  <w:style w:type="table" w:styleId="a7">
    <w:name w:val="Table Grid"/>
    <w:basedOn w:val="a1"/>
    <w:uiPriority w:val="39"/>
    <w:rsid w:val="0028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280218"/>
    <w:rPr>
      <w:color w:val="808080"/>
    </w:rPr>
  </w:style>
  <w:style w:type="character" w:styleId="a9">
    <w:name w:val="annotation reference"/>
    <w:basedOn w:val="a0"/>
    <w:uiPriority w:val="99"/>
    <w:semiHidden/>
    <w:unhideWhenUsed/>
    <w:rsid w:val="00A73D3F"/>
    <w:rPr>
      <w:sz w:val="16"/>
      <w:szCs w:val="16"/>
    </w:rPr>
  </w:style>
  <w:style w:type="paragraph" w:styleId="aa">
    <w:name w:val="annotation text"/>
    <w:basedOn w:val="a"/>
    <w:link w:val="ab"/>
    <w:uiPriority w:val="99"/>
    <w:semiHidden/>
    <w:unhideWhenUsed/>
    <w:rsid w:val="00A73D3F"/>
    <w:pPr>
      <w:spacing w:line="240" w:lineRule="auto"/>
    </w:pPr>
    <w:rPr>
      <w:sz w:val="20"/>
      <w:szCs w:val="20"/>
    </w:rPr>
  </w:style>
  <w:style w:type="character" w:customStyle="1" w:styleId="ab">
    <w:name w:val="Текст примечания Знак"/>
    <w:basedOn w:val="a0"/>
    <w:link w:val="aa"/>
    <w:uiPriority w:val="99"/>
    <w:semiHidden/>
    <w:rsid w:val="00A73D3F"/>
    <w:rPr>
      <w:sz w:val="20"/>
      <w:szCs w:val="20"/>
    </w:rPr>
  </w:style>
  <w:style w:type="paragraph" w:styleId="ac">
    <w:name w:val="annotation subject"/>
    <w:basedOn w:val="aa"/>
    <w:next w:val="aa"/>
    <w:link w:val="ad"/>
    <w:uiPriority w:val="99"/>
    <w:semiHidden/>
    <w:unhideWhenUsed/>
    <w:rsid w:val="00A73D3F"/>
    <w:rPr>
      <w:b/>
      <w:bCs/>
    </w:rPr>
  </w:style>
  <w:style w:type="character" w:customStyle="1" w:styleId="ad">
    <w:name w:val="Тема примечания Знак"/>
    <w:basedOn w:val="ab"/>
    <w:link w:val="ac"/>
    <w:uiPriority w:val="99"/>
    <w:semiHidden/>
    <w:rsid w:val="00A73D3F"/>
    <w:rPr>
      <w:b/>
      <w:bCs/>
      <w:sz w:val="20"/>
      <w:szCs w:val="20"/>
    </w:rPr>
  </w:style>
  <w:style w:type="paragraph" w:styleId="ae">
    <w:name w:val="Balloon Text"/>
    <w:basedOn w:val="a"/>
    <w:link w:val="af"/>
    <w:uiPriority w:val="99"/>
    <w:semiHidden/>
    <w:unhideWhenUsed/>
    <w:rsid w:val="00A73D3F"/>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A73D3F"/>
    <w:rPr>
      <w:rFonts w:ascii="Segoe UI" w:hAnsi="Segoe UI" w:cs="Segoe UI"/>
      <w:sz w:val="18"/>
      <w:szCs w:val="18"/>
    </w:rPr>
  </w:style>
  <w:style w:type="paragraph" w:styleId="af0">
    <w:name w:val="footnote text"/>
    <w:basedOn w:val="a"/>
    <w:link w:val="af1"/>
    <w:uiPriority w:val="99"/>
    <w:semiHidden/>
    <w:unhideWhenUsed/>
    <w:rsid w:val="00A73D3F"/>
    <w:pPr>
      <w:spacing w:after="0" w:line="240" w:lineRule="auto"/>
    </w:pPr>
    <w:rPr>
      <w:sz w:val="20"/>
      <w:szCs w:val="20"/>
    </w:rPr>
  </w:style>
  <w:style w:type="character" w:customStyle="1" w:styleId="af1">
    <w:name w:val="Текст сноски Знак"/>
    <w:basedOn w:val="a0"/>
    <w:link w:val="af0"/>
    <w:uiPriority w:val="99"/>
    <w:semiHidden/>
    <w:rsid w:val="00A73D3F"/>
    <w:rPr>
      <w:sz w:val="20"/>
      <w:szCs w:val="20"/>
    </w:rPr>
  </w:style>
  <w:style w:type="character" w:styleId="af2">
    <w:name w:val="footnote reference"/>
    <w:basedOn w:val="a0"/>
    <w:uiPriority w:val="99"/>
    <w:semiHidden/>
    <w:unhideWhenUsed/>
    <w:rsid w:val="00A73D3F"/>
    <w:rPr>
      <w:vertAlign w:val="superscript"/>
    </w:rPr>
  </w:style>
  <w:style w:type="paragraph" w:styleId="af3">
    <w:name w:val="endnote text"/>
    <w:basedOn w:val="a"/>
    <w:link w:val="af4"/>
    <w:uiPriority w:val="99"/>
    <w:semiHidden/>
    <w:unhideWhenUsed/>
    <w:rsid w:val="00A84553"/>
    <w:pPr>
      <w:spacing w:after="0" w:line="240" w:lineRule="auto"/>
    </w:pPr>
    <w:rPr>
      <w:sz w:val="20"/>
      <w:szCs w:val="20"/>
    </w:rPr>
  </w:style>
  <w:style w:type="character" w:customStyle="1" w:styleId="af4">
    <w:name w:val="Текст концевой сноски Знак"/>
    <w:basedOn w:val="a0"/>
    <w:link w:val="af3"/>
    <w:uiPriority w:val="99"/>
    <w:semiHidden/>
    <w:rsid w:val="00A84553"/>
    <w:rPr>
      <w:sz w:val="20"/>
      <w:szCs w:val="20"/>
    </w:rPr>
  </w:style>
  <w:style w:type="character" w:styleId="af5">
    <w:name w:val="endnote reference"/>
    <w:basedOn w:val="a0"/>
    <w:uiPriority w:val="99"/>
    <w:semiHidden/>
    <w:unhideWhenUsed/>
    <w:rsid w:val="00A84553"/>
    <w:rPr>
      <w:vertAlign w:val="superscript"/>
    </w:rPr>
  </w:style>
  <w:style w:type="character" w:styleId="af6">
    <w:name w:val="Hyperlink"/>
    <w:basedOn w:val="a0"/>
    <w:uiPriority w:val="99"/>
    <w:unhideWhenUsed/>
    <w:rsid w:val="00A84553"/>
    <w:rPr>
      <w:color w:val="0000FF"/>
      <w:u w:val="single"/>
    </w:rPr>
  </w:style>
  <w:style w:type="character" w:styleId="af7">
    <w:name w:val="FollowedHyperlink"/>
    <w:basedOn w:val="a0"/>
    <w:uiPriority w:val="99"/>
    <w:semiHidden/>
    <w:unhideWhenUsed/>
    <w:rsid w:val="00A845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30753-FE0E-4A3F-97CD-B0102F80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574</Words>
  <Characters>3273</Characters>
  <Application>Microsoft Office Word</Application>
  <DocSecurity>0</DocSecurity>
  <Lines>27</Lines>
  <Paragraphs>7</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The Foundations of Mathematics</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2019-10-17T17:12:00Z</dcterms:created>
  <dcterms:modified xsi:type="dcterms:W3CDTF">2019-10-17T17:29:00Z</dcterms:modified>
</cp:coreProperties>
</file>