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040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770"/>
        <w:gridCol w:w="2115"/>
        <w:gridCol w:w="1170"/>
        <w:gridCol w:w="840"/>
        <w:gridCol w:w="2415"/>
        <w:gridCol w:w="1230"/>
        <w:gridCol w:w="780"/>
        <w:gridCol w:w="1920"/>
        <w:tblGridChange w:id="0">
          <w:tblGrid>
            <w:gridCol w:w="1800"/>
            <w:gridCol w:w="1770"/>
            <w:gridCol w:w="2115"/>
            <w:gridCol w:w="1170"/>
            <w:gridCol w:w="840"/>
            <w:gridCol w:w="2415"/>
            <w:gridCol w:w="1230"/>
            <w:gridCol w:w="780"/>
            <w:gridCol w:w="192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Идентификатор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Стейкхолдер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as 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Проблемы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16071"/>
                <w:sz w:val="23"/>
                <w:szCs w:val="23"/>
              </w:rPr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to be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16071"/>
                <w:sz w:val="23"/>
                <w:szCs w:val="23"/>
              </w:rPr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Решение проблемы</w:t>
            </w:r>
          </w:p>
        </w:tc>
      </w:tr>
      <w:tr>
        <w:trPr>
          <w:cantSplit w:val="0"/>
          <w:trHeight w:val="363.9550781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по телефону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очно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 системе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Очно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Курьер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Получает заказы через мобильное приложение, бронирует, отмечает статусы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Приложение только на этапе разработки, возможны задержки, нет автоматизации маршрутизации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Автоматизация маршрута, можно выбрать самый удобный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Диспетчер (Контроль курьеров)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Контролирует курьеров, переназначает заказы вручную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Нет инструментов для автоматического контроля и переназначения, высокая нагрузка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Снижение нагрузки на диспетчера, автоматически переназначает курьеров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Диспетчер (Контроль курьеров)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контроль качества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Невозможность проверить факт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Отправка фото подтверждения в приложение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Финансовый учет (Бухгалтерия)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Получает данные о заказах и доставках для расчетов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Неавтоматизированная интеграция с системой, возможны задержки и ошибки передачи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Повышение точности данных и скорости передачи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Администратор (Регистрация курьеров)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Регистрация курьеров, назначение прав доступов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Ошибки при назначении прав, Несанкционированный доступ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Обработка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Высокая нагрузка, риск ошибок при вводе, задержки, отсутствие автоматизации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Снижение нагрузки и ошибок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Оформляет заказ через поставщика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Нет прямого доступа к системе доставки, нет отслеживания статуса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Магазин/Поставщик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Формирует заказы, передает оператору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Нет прямой интеграции с системой доставки, задержки, дублирование информации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