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270"/>
      </w:pPr>
      <w:r>
        <w:rPr>
          <w:color w:val="111111"/>
          <w:w w:val="105"/>
        </w:rPr>
        <w:t>title: "Лабораторная работа №7" subtitle: "Лабораторная работа № 7. Элементы</w:t>
      </w:r>
      <w:r>
        <w:rPr>
          <w:color w:val="111111"/>
          <w:spacing w:val="1"/>
          <w:w w:val="105"/>
        </w:rPr>
        <w:t> </w:t>
      </w:r>
      <w:r>
        <w:rPr>
          <w:color w:val="111111"/>
          <w:spacing w:val="-1"/>
          <w:w w:val="105"/>
        </w:rPr>
        <w:t>криптографии.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Однократное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гаммирование"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"Болотина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contents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toc-depth: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lof: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lot: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false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760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4272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Освоить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практике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применение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режима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однократного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гаммирования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1"/>
      </w:pPr>
      <w:r>
        <w:rPr>
          <w:color w:val="111111"/>
        </w:rPr>
        <w:t>Выполнение лабораторной работы</w:t>
      </w:r>
    </w:p>
    <w:p>
      <w:pPr>
        <w:pStyle w:val="BodyText"/>
        <w:spacing w:before="232"/>
        <w:ind w:left="119"/>
      </w:pPr>
      <w:r>
        <w:rPr>
          <w:color w:val="111111"/>
          <w:w w:val="105"/>
        </w:rPr>
        <w:t>Программа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шифрует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дешифрует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сообщения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975"/>
      </w:pPr>
      <w:r>
        <w:rPr>
          <w:color w:val="111111"/>
          <w:w w:val="105"/>
        </w:rPr>
        <w:t>Нужно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подобрать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ключ,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чтобы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получить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сообщение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«С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Новым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Годом,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друзья!».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Требуется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разработать приложение, позволяющее шифровать и дешифровать данные в режиме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однократного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гаммирования.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Приложение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должно: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Определить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вид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шифротекста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при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известном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ключе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известном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открытом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тексте.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74" w:after="0"/>
        <w:ind w:left="532" w:right="1258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Определить ключ, с помощью которого шифротекст может быть преобразован в</w:t>
      </w:r>
      <w:r>
        <w:rPr>
          <w:color w:val="111111"/>
          <w:spacing w:val="1"/>
          <w:w w:val="105"/>
          <w:sz w:val="16"/>
        </w:rPr>
        <w:t> </w:t>
      </w:r>
      <w:r>
        <w:rPr>
          <w:color w:val="111111"/>
          <w:w w:val="105"/>
          <w:sz w:val="16"/>
        </w:rPr>
        <w:t>некоторый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фрагмент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текста,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представляющий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собой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один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из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возможных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вариантов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прочтения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открытого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текста.</w:t>
      </w:r>
    </w:p>
    <w:p>
      <w:pPr>
        <w:pStyle w:val="BodyText"/>
        <w:spacing w:before="118"/>
        <w:ind w:left="119"/>
      </w:pPr>
      <w:r>
        <w:rPr>
          <w:color w:val="111111"/>
          <w:w w:val="105"/>
        </w:rPr>
        <w:t>Ключ: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711199</wp:posOffset>
            </wp:positionH>
            <wp:positionV relativeFrom="paragraph">
              <wp:posOffset>131544</wp:posOffset>
            </wp:positionV>
            <wp:extent cx="4591049" cy="33909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9"/>
      </w:pPr>
      <w:r>
        <w:rPr>
          <w:color w:val="111111"/>
          <w:w w:val="105"/>
        </w:rPr>
        <w:t>Текст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сообщения,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которое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нужно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зашифровать: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600574" cy="33337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</w:p>
    <w:p>
      <w:pPr>
        <w:pStyle w:val="BodyText"/>
        <w:spacing w:before="104"/>
        <w:ind w:left="119"/>
      </w:pPr>
      <w:r>
        <w:rPr>
          <w:color w:val="111111"/>
        </w:rPr>
        <w:t>Зашифрованное</w:t>
      </w:r>
      <w:r>
        <w:rPr>
          <w:color w:val="111111"/>
          <w:spacing w:val="47"/>
        </w:rPr>
        <w:t> </w:t>
      </w:r>
      <w:r>
        <w:rPr>
          <w:color w:val="111111"/>
        </w:rPr>
        <w:t>сообщение: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711199</wp:posOffset>
            </wp:positionH>
            <wp:positionV relativeFrom="paragraph">
              <wp:posOffset>131762</wp:posOffset>
            </wp:positionV>
            <wp:extent cx="4516850" cy="33381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50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119"/>
      </w:pPr>
      <w:r>
        <w:rPr>
          <w:color w:val="111111"/>
          <w:w w:val="105"/>
        </w:rPr>
        <w:t>Ключ: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711199</wp:posOffset>
            </wp:positionH>
            <wp:positionV relativeFrom="paragraph">
              <wp:posOffset>131666</wp:posOffset>
            </wp:positionV>
            <wp:extent cx="4591049" cy="3390900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9"/>
      </w:pPr>
      <w:r>
        <w:rPr>
          <w:color w:val="111111"/>
          <w:w w:val="105"/>
        </w:rPr>
        <w:t>Текст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зашифрованного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сообщения: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711199</wp:posOffset>
            </wp:positionH>
            <wp:positionV relativeFrom="paragraph">
              <wp:posOffset>131782</wp:posOffset>
            </wp:positionV>
            <wp:extent cx="4516850" cy="3338131"/>
            <wp:effectExtent l="0" t="0" r="0" b="0"/>
            <wp:wrapTopAndBottom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50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119"/>
      </w:pPr>
      <w:r>
        <w:rPr>
          <w:color w:val="111111"/>
        </w:rPr>
        <w:t>Расшифрованное</w:t>
      </w:r>
      <w:r>
        <w:rPr>
          <w:color w:val="111111"/>
          <w:spacing w:val="49"/>
        </w:rPr>
        <w:t> </w:t>
      </w:r>
      <w:r>
        <w:rPr>
          <w:color w:val="111111"/>
        </w:rPr>
        <w:t>сообщение: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711199</wp:posOffset>
            </wp:positionH>
            <wp:positionV relativeFrom="paragraph">
              <wp:posOffset>131668</wp:posOffset>
            </wp:positionV>
            <wp:extent cx="4600574" cy="3333750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>
          <w:color w:val="111111"/>
        </w:rPr>
        <w:t>Выводы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освоила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практике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применение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режима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однократного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гаммирования.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Список литературы</w:t>
      </w:r>
    </w:p>
    <w:p>
      <w:pPr>
        <w:pStyle w:val="BodyText"/>
        <w:spacing w:before="203"/>
        <w:ind w:left="239"/>
      </w:pPr>
      <w:r>
        <w:rPr>
          <w:color w:val="111111"/>
          <w:w w:val="105"/>
        </w:rPr>
        <w:t>1.</w:t>
      </w:r>
      <w:r>
        <w:rPr>
          <w:color w:val="0000ED"/>
          <w:spacing w:val="-10"/>
          <w:w w:val="105"/>
        </w:rPr>
        <w:t> </w:t>
      </w:r>
      <w:hyperlink r:id="rId8">
        <w:r>
          <w:rPr>
            <w:color w:val="0000ED"/>
            <w:w w:val="105"/>
            <w:u w:val="single" w:color="0000ED"/>
          </w:rPr>
          <w:t>Лабораторная</w:t>
        </w:r>
        <w:r>
          <w:rPr>
            <w:color w:val="0000ED"/>
            <w:spacing w:val="-12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работа</w:t>
        </w:r>
        <w:r>
          <w:rPr>
            <w:color w:val="0000ED"/>
            <w:spacing w:val="-13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№</w:t>
        </w:r>
        <w:r>
          <w:rPr>
            <w:color w:val="0000ED"/>
            <w:spacing w:val="-12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7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294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esystem.rudn.ru/pluginfile.php/1652029/mod_resource/content/2/007-lab_crypto-gamma.pdf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2022-10-22T09:59:42Z</dcterms:created>
  <dcterms:modified xsi:type="dcterms:W3CDTF">2022-10-22T09:59:42Z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2022-10-22T00:00:00Z</vt:filetime>
  </property>
</Properties>
</file>