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საკვებისა</w:t>
      </w:r>
      <w:proofErr w:type="spellEnd"/>
      <w:proofErr w:type="gram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და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წამლების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ადმინისტრაციის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(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Fda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)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გამაფრთხილებელ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/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მარეგულირებელი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ინფორმაცია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გაიდლაინთა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ეროვნული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პალატის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(National Guideline Clearinghouse)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მიხედვით:</w:t>
      </w:r>
      <w:r>
        <w:rPr>
          <w:rFonts w:ascii="Sylfaen" w:hAnsi="Sylfaen"/>
          <w:color w:val="000000"/>
          <w:sz w:val="18"/>
          <w:szCs w:val="18"/>
        </w:rPr>
        <w:t>აღნიშნულ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გაიდლაინში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მოყვანილია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მხოლოდ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რომელთა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შესახებაც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გამოქვეყნებულია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მნიშვნელოვანი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მარეგულირებელი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>/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გამაფრთხილებელი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ინფორმაცია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აგვისტო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4, 2009 –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სიმსივნის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ნეკროზის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ფაქტორის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(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სნფ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)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ბლოკერები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(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Remicade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Enbrel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Humira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Cimzia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and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Si</w:t>
      </w:r>
      <w:r>
        <w:rPr>
          <w:rFonts w:ascii="Sylfaen" w:hAnsi="Sylfaen"/>
          <w:color w:val="000000"/>
          <w:sz w:val="18"/>
          <w:szCs w:val="18"/>
        </w:rPr>
        <w:t>mponi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): FDA-ს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მიერ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გამოქვეყნდა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სიმსივნის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ნეკროზის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ფაქტორის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ბლოკერთა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შედეგები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რომლის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თანახმადაც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აღნიშნული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ბავშვებსა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მოზარდებში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იზრდება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ლიმფომებისა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სიმსივნეების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განვითარების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რისკი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გაიდლაინის</w:t>
      </w:r>
      <w:proofErr w:type="spellEnd"/>
      <w:proofErr w:type="gram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შინაარსი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კომპეტენცია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</w:r>
      <w:r>
        <w:rPr>
          <w:rFonts w:ascii="Sylfaen" w:hAnsi="Sylfaen"/>
          <w:color w:val="000000"/>
          <w:sz w:val="18"/>
          <w:szCs w:val="18"/>
        </w:rPr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მეთოდოლოგია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_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რეიტინგ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სქემა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ღირებულებათა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ანალიზი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რეკომენდაციები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მტკიცებულებები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რეკომენდაციათა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გასამყარებლად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გაიდლაინში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წარმოდგენილ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რეკომენდაციათა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შესრულების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სარგებელი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/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ზიანი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წინააღმდეგჩვენება</w:t>
      </w:r>
      <w:proofErr w:type="spellEnd"/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კომპეტენცია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დაავადება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>/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პათ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Style w:val="Strong"/>
          <w:rFonts w:ascii="Sylfaen" w:hAnsi="Sylfaen"/>
          <w:color w:val="000000"/>
          <w:sz w:val="18"/>
          <w:szCs w:val="18"/>
        </w:rPr>
        <w:t>მდგომარეობა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გაიდლაინის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კატეგორია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დიაგნოსტირება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შეფასება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მართვა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კლინიკური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სპეციალობები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დერმატოლოგია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საოჯახო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მედიცინა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შინაგანი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მედიცინა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პედიატრია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რევმატოლოგია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სამიზნე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პოპულაცია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დაავადებულები</w:t>
      </w:r>
      <w:proofErr w:type="spellEnd"/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მეთოდოლოგია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მტკიცებულებათა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მოძიება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>/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შერჩევისას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გამოყენებული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მეთოდები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ყველა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მტკიცებულება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მიღებულ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იქნა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MEDLINE-</w:t>
      </w:r>
      <w:proofErr w:type="spellStart"/>
      <w:r>
        <w:rPr>
          <w:rFonts w:ascii="Sylfaen" w:hAnsi="Sylfaen"/>
          <w:color w:val="000000"/>
          <w:sz w:val="18"/>
          <w:szCs w:val="18"/>
        </w:rPr>
        <w:t>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მონაცემთა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ელექტრონულ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ბაზაში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არსებული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1990_2007 </w:t>
      </w:r>
      <w:proofErr w:type="spellStart"/>
      <w:r>
        <w:rPr>
          <w:rFonts w:ascii="Sylfaen" w:hAnsi="Sylfaen"/>
          <w:color w:val="000000"/>
          <w:sz w:val="18"/>
          <w:szCs w:val="18"/>
        </w:rPr>
        <w:t>წლების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ინგლისურენოვანი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პუბლიკაციებიდან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Style w:val="apple-converted-space"/>
          <w:rFonts w:ascii="Sylfaen" w:hAnsi="Sylfaen"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Strong"/>
          <w:rFonts w:ascii="Sylfaen" w:hAnsi="Sylfaen"/>
          <w:color w:val="000000"/>
          <w:sz w:val="18"/>
          <w:szCs w:val="18"/>
        </w:rPr>
        <w:t>წყარო</w:t>
      </w:r>
      <w:proofErr w:type="spellEnd"/>
      <w:proofErr w:type="gram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დოკუმენტების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რაოდენობა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სახელდება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მტკიცებულებათა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ანალიზის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მეთოდები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გა</w:t>
      </w:r>
      <w:r>
        <w:rPr>
          <w:rFonts w:ascii="Sylfaen" w:hAnsi="Sylfaen"/>
          <w:color w:val="000000"/>
          <w:sz w:val="18"/>
          <w:szCs w:val="18"/>
        </w:rPr>
        <w:t>მოქვეყნებულ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მეტაანალიზთა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მიმოხილვა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სისტემური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მიმოხილვა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მტკიცებულებათა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ცხრილებით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Fonts w:ascii="Sylfaen" w:hAnsi="Sylfaen" w:cs="Sylfaen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მოძიებულ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მტკიცებულებათა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შეფასებისთვის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გამოყენებულ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იქნა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რეკომენდაციათა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ტაქსონომიის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სიძლიერის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უნიფიცირებული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სისტემა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რეკომენდაციები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ფსორიაზული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ართრიტის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ძირითადი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რეკომენდაციები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ფსორიაზით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ინდივიდებში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-ს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განვითარების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რისკი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დიდია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მიუხედავად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იმისა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დერმატოლოგის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მიერ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ანამნეზის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შეკრება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სკრინინგი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ყოველი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ვიზიტისას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ხორციელდება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ფართოდ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გავრცელებული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მგრძნობიარე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სენსიტიური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სკრინინგ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ტესტი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გამოსავლენად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დღეისათვის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ჯერ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კიდევ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არსებობს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ძირითად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სადიაგნოსტიკო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მეთოდად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ფსორიაზით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ადამიანებში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ანთებითი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ნიშნებისა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სიმპტომების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შეფასება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რჩება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იმ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შემთხვევაში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თუკი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დერმატოლოგი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-ს </w:t>
      </w:r>
      <w:proofErr w:type="spellStart"/>
      <w:r>
        <w:rPr>
          <w:rFonts w:ascii="Sylfaen" w:hAnsi="Sylfaen"/>
          <w:color w:val="000000"/>
          <w:sz w:val="18"/>
          <w:szCs w:val="18"/>
        </w:rPr>
        <w:t>დიაგნოსტირებას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>/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წარმატებით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ვერ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ახორციელებს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რეკომენდებულია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ამგვარი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გაგზავნა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რევმატოლოგთან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Fonts w:ascii="Sylfaen" w:hAnsi="Sylfaen"/>
          <w:color w:val="000000"/>
          <w:sz w:val="18"/>
          <w:szCs w:val="18"/>
        </w:rPr>
        <w:t>-ს</w:t>
      </w:r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დიაგნოსტირების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შემდეგ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ყველა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სიმპტომების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შესამსუბუქებლად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სტრუქტურული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დაზიანების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თავიდან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ასაცილებლად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სიცოცხლის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ხარისხის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პარამეტრების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გასაუმჯობესებლად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დერმატოლოგისა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რევმატოლოგის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მიერ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ჩაუტარდეს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მეტოტრექსატი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სიმსივნის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ნეკროზის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ფაქტორის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(TNF)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საშუალო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სიმძიმისა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მწვავე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lastRenderedPageBreak/>
        <w:t>აქტიური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-ს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რიგის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პრეპარატებია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ვინაიდან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-ს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ამგვარი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ფორმების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ადრეული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გამოვლენა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პროგნოზული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ინდიკატორების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არსებობის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ვერ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ხორციელდება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ფა-ით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დაავადებულ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ადამიანთა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50 %-ს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სახსრის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სტრუქტურული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დაზიანება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აღენიშნება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ფა-ით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ყველა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ინდივიდი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მეტოტრექსატითა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TNF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ინჰიბიტორებით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თერაპიას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საჭიროებენ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მსუბუქი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ფორმის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-ს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არასტეროიდული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ანთების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საწინააღმდეგო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აგენტებითა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ასასა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Fonts w:ascii="Sylfaen" w:hAnsi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სტეროიდების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სახსარშიდა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ინექციებით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წარმატებით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ხორციელდება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ფსორიაზული</w:t>
      </w:r>
      <w:proofErr w:type="spellEnd"/>
      <w:proofErr w:type="gram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ართრიტით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დაავადებულთა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ბიოლოგიური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აგენტებით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მკურნალობის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ძირითადი</w:t>
      </w:r>
      <w:proofErr w:type="spell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რეკომენდაციები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</w:r>
      <w:proofErr w:type="spellStart"/>
      <w:r>
        <w:rPr>
          <w:rFonts w:ascii="Sylfaen" w:hAnsi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მკურნალობისათვის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გამოყენებული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ბიოლოგიური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აგენტების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შესახებ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ვრცლადაა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მოთხრობილი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ამავე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გაიდლაინის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პირველ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ნაწილში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რომელშიც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ვაქცინაციასთან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დაკავშირებული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საკითხებიცაა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განხილული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Style w:val="apple-converted-space"/>
          <w:rFonts w:ascii="Sylfaen" w:hAnsi="Sylfaen"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Strong"/>
          <w:rFonts w:ascii="Sylfaen" w:hAnsi="Sylfaen"/>
          <w:color w:val="000000"/>
          <w:sz w:val="18"/>
          <w:szCs w:val="18"/>
        </w:rPr>
        <w:t>რეკომენდაციები</w:t>
      </w:r>
      <w:proofErr w:type="spellEnd"/>
      <w:proofErr w:type="gram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ადალიმუმაბის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Adalimumab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შესახებ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ჩვენება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საშუალო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მძიმე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ფორმის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</w:t>
      </w:r>
      <w:r>
        <w:rPr>
          <w:rFonts w:ascii="Sylfaen" w:hAnsi="Sylfaen"/>
          <w:color w:val="000000"/>
          <w:sz w:val="18"/>
          <w:szCs w:val="18"/>
        </w:rPr>
        <w:t>რთრიტი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ფსორიაზი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მოზრდილთა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იუვენილური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რევმატოიდული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ართრიტი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(4 </w:t>
      </w:r>
      <w:proofErr w:type="spellStart"/>
      <w:r>
        <w:rPr>
          <w:rFonts w:ascii="Sylfaen" w:hAnsi="Sylfaen"/>
          <w:color w:val="000000"/>
          <w:sz w:val="18"/>
          <w:szCs w:val="18"/>
        </w:rPr>
        <w:t>წლამდე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ასაკის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),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მაანკილოზებელი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სპონდილიტი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მოზრდილთა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კრონის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დოზირება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40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მგ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კვირაგამოშვებით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სუბკუტანეურად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პასუხი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მკურნალობაზე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12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კვირაში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ACR20* 58%-ს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შეადგენს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</w:p>
    <w:p w:rsidR="007933FD" w:rsidRDefault="007933FD" w:rsidP="007933FD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trong"/>
          <w:rFonts w:ascii="Sylfaen" w:hAnsi="Sylfaen"/>
          <w:color w:val="000000"/>
          <w:sz w:val="18"/>
          <w:szCs w:val="18"/>
        </w:rPr>
        <w:t>რეკომენდაციები</w:t>
      </w:r>
      <w:proofErr w:type="spellEnd"/>
      <w:proofErr w:type="gram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ეთანერცეპტის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Etanercept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შესახებ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ჩვენება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საშუალო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მძიმე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ფორმის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ართრიტი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ფსორიაზი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მოზრდილთა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იუვენილური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რევმატოიდული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ართრიტი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(4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წლამდე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ასაკის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)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მაანკილოზებელი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სპონდილიტი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ფსორიაზული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ართრიტისათვის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საჭირო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დოზირება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25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მგ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ორჯერ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</w:t>
      </w:r>
      <w:r>
        <w:rPr>
          <w:rFonts w:ascii="Sylfaen" w:hAnsi="Sylfaen"/>
          <w:color w:val="000000"/>
          <w:sz w:val="18"/>
          <w:szCs w:val="18"/>
        </w:rPr>
        <w:t>ვირაში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50 </w:t>
      </w:r>
      <w:proofErr w:type="spellStart"/>
      <w:r>
        <w:rPr>
          <w:rFonts w:ascii="Sylfaen" w:hAnsi="Sylfaen"/>
          <w:color w:val="000000"/>
          <w:sz w:val="18"/>
          <w:szCs w:val="18"/>
        </w:rPr>
        <w:t>მგ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კვირაში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ერთხელ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სუბკუტანეურად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პასუხი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მკურნალობაზე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12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კვირაში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ACR20* 59%-ს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შეადგენს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Style w:val="apple-converted-space"/>
          <w:rFonts w:ascii="Sylfaen" w:hAnsi="Sylfaen"/>
          <w:color w:val="000000"/>
          <w:sz w:val="18"/>
          <w:szCs w:val="18"/>
        </w:rPr>
        <w:t> </w:t>
      </w:r>
      <w:r>
        <w:rPr>
          <w:rFonts w:ascii="Sylfaen" w:hAnsi="Sylfaen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Strong"/>
          <w:rFonts w:ascii="Sylfaen" w:hAnsi="Sylfaen"/>
          <w:color w:val="000000"/>
          <w:sz w:val="18"/>
          <w:szCs w:val="18"/>
        </w:rPr>
        <w:t>რეკომენდაციები</w:t>
      </w:r>
      <w:proofErr w:type="spellEnd"/>
      <w:proofErr w:type="gramEnd"/>
      <w:r>
        <w:rPr>
          <w:rStyle w:val="Strong"/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ინფლიქსიმაბის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 (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Infliximab</w:t>
      </w:r>
      <w:proofErr w:type="spellEnd"/>
      <w:r>
        <w:rPr>
          <w:rStyle w:val="Strong"/>
          <w:rFonts w:ascii="Sylfaen" w:hAnsi="Sylfaen"/>
          <w:color w:val="000000"/>
          <w:sz w:val="18"/>
          <w:szCs w:val="18"/>
        </w:rPr>
        <w:t xml:space="preserve">) </w:t>
      </w:r>
      <w:proofErr w:type="spellStart"/>
      <w:r>
        <w:rPr>
          <w:rStyle w:val="Strong"/>
          <w:rFonts w:ascii="Sylfaen" w:hAnsi="Sylfaen"/>
          <w:color w:val="000000"/>
          <w:sz w:val="18"/>
          <w:szCs w:val="18"/>
        </w:rPr>
        <w:t>შესახებ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ჩვენება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საშუალო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მძიმე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ფორმის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ფსორიაზული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ართრიტი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მწვავე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ფსორიაზი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მოზრდილთა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რევმატოიდული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ართრიტი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მაანკილოზებელი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სპონდილიტი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ბავშვთა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მოზრდილთა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კრონის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დაავადება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დოზირება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: 5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მგ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/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კგ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ინფუზია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0, მე-2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მე-6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კვირაზე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შემდეგ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ყოველ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6-8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კვირაში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დოზა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ინფუზიათა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შორის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ინტერვალები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უნდა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შეესაბამებოდეს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პაციენტის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მდგომარეობას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პასუხი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მკურნალობაზე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: 14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კვი</w:t>
      </w:r>
      <w:r>
        <w:rPr>
          <w:rFonts w:ascii="Sylfaen" w:hAnsi="Sylfaen"/>
          <w:color w:val="000000"/>
          <w:sz w:val="18"/>
          <w:szCs w:val="18"/>
        </w:rPr>
        <w:t>რაში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ACR20* 58%-ს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შეადგენს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მტკიცებულებათა</w:t>
      </w:r>
      <w:proofErr w:type="spellEnd"/>
      <w:proofErr w:type="gram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დონეები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 xml:space="preserve">I. </w:t>
      </w:r>
      <w:proofErr w:type="spellStart"/>
      <w:r>
        <w:rPr>
          <w:rFonts w:ascii="Sylfaen" w:hAnsi="Sylfaen"/>
          <w:color w:val="000000"/>
          <w:sz w:val="18"/>
          <w:szCs w:val="18"/>
        </w:rPr>
        <w:t>პაციენტზე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ორიენტირებული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კარგი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ხარისხის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მტკიცებულება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 xml:space="preserve">II. </w:t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პაციენტზე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ორიენტირებული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შეზღუდული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ხარისხის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მტკიცებულება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  <w:r>
        <w:rPr>
          <w:rFonts w:ascii="Sylfaen" w:hAnsi="Sylfaen"/>
          <w:color w:val="000000"/>
          <w:sz w:val="18"/>
          <w:szCs w:val="18"/>
        </w:rPr>
        <w:br/>
        <w:t xml:space="preserve">III. </w:t>
      </w:r>
      <w:proofErr w:type="spellStart"/>
      <w:proofErr w:type="gramStart"/>
      <w:r>
        <w:rPr>
          <w:rFonts w:ascii="Sylfaen" w:hAnsi="Sylfaen"/>
          <w:color w:val="000000"/>
          <w:sz w:val="18"/>
          <w:szCs w:val="18"/>
        </w:rPr>
        <w:t>სხვა</w:t>
      </w:r>
      <w:proofErr w:type="spellEnd"/>
      <w:proofErr w:type="gram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მტკიცებულებები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მათ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შორის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კონსენსუს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გაიდლაინები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შეხედულებები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შემთხვევათა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კვლევები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</w:p>
    <w:p w:rsidR="007933FD" w:rsidRDefault="007933FD" w:rsidP="007933F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18"/>
          <w:szCs w:val="18"/>
        </w:rPr>
      </w:pPr>
      <w:proofErr w:type="spellStart"/>
      <w:proofErr w:type="gram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რეკომენდაციათა</w:t>
      </w:r>
      <w:proofErr w:type="spellEnd"/>
      <w:proofErr w:type="gramEnd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sub"/>
          <w:rFonts w:ascii="Sylfaen" w:hAnsi="Sylfaen"/>
          <w:b/>
          <w:bCs/>
          <w:color w:val="333333"/>
          <w:sz w:val="21"/>
          <w:szCs w:val="21"/>
        </w:rPr>
        <w:t>სიმტკიცე</w:t>
      </w:r>
      <w:proofErr w:type="spellEnd"/>
      <w:r>
        <w:rPr>
          <w:rFonts w:ascii="Sylfaen" w:hAnsi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პაციენტზე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ორიენტირებულ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უცვლელ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კარგი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ხარისხის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მტკიცებულებაზე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დაფუძნებული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რეკომენდაცია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პაციენტზე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ორიენტირებულ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ცვალებად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ან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შეზღუდული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ხარისხის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მტკიცებულებაზე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დაფუძნებული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რეკომენდაცია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>.</w:t>
      </w:r>
      <w:r>
        <w:rPr>
          <w:rFonts w:ascii="Sylfaen" w:hAnsi="Sylfaen" w:cs="Sylfaen"/>
          <w:color w:val="000000"/>
          <w:sz w:val="18"/>
          <w:szCs w:val="18"/>
        </w:rPr>
        <w:br/>
        <w:t>•</w:t>
      </w:r>
      <w:r>
        <w:rPr>
          <w:color w:val="000000"/>
          <w:sz w:val="18"/>
          <w:szCs w:val="18"/>
        </w:rPr>
        <w:t> </w:t>
      </w:r>
      <w:proofErr w:type="spellStart"/>
      <w:proofErr w:type="gramStart"/>
      <w:r>
        <w:rPr>
          <w:rFonts w:ascii="Sylfaen" w:hAnsi="Sylfaen" w:cs="Sylfaen"/>
          <w:color w:val="000000"/>
          <w:sz w:val="18"/>
          <w:szCs w:val="18"/>
        </w:rPr>
        <w:t>კონსენსუსზე</w:t>
      </w:r>
      <w:proofErr w:type="spellEnd"/>
      <w:proofErr w:type="gramEnd"/>
      <w:r>
        <w:rPr>
          <w:rFonts w:ascii="Sylfaen" w:hAnsi="Sylfaen" w:cs="Sylfaen"/>
          <w:color w:val="000000"/>
          <w:sz w:val="18"/>
          <w:szCs w:val="18"/>
        </w:rPr>
        <w:t xml:space="preserve">,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შეხედულებასა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თუ</w:t>
      </w:r>
      <w:proofErr w:type="spellEnd"/>
      <w:r>
        <w:rPr>
          <w:rFonts w:ascii="Sylfaen" w:hAnsi="Sylfaen" w:cs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 w:cs="Sylfaen"/>
          <w:color w:val="000000"/>
          <w:sz w:val="18"/>
          <w:szCs w:val="18"/>
        </w:rPr>
        <w:t>შემთხ</w:t>
      </w:r>
      <w:r>
        <w:rPr>
          <w:rFonts w:ascii="Sylfaen" w:hAnsi="Sylfaen"/>
          <w:color w:val="000000"/>
          <w:sz w:val="18"/>
          <w:szCs w:val="18"/>
        </w:rPr>
        <w:t>ვევათა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კვლევებზე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დაფუძნებული</w:t>
      </w:r>
      <w:proofErr w:type="spellEnd"/>
      <w:r>
        <w:rPr>
          <w:rFonts w:ascii="Sylfaen" w:hAnsi="Sylfaen"/>
          <w:color w:val="000000"/>
          <w:sz w:val="18"/>
          <w:szCs w:val="18"/>
        </w:rPr>
        <w:t xml:space="preserve"> </w:t>
      </w:r>
      <w:proofErr w:type="spellStart"/>
      <w:r>
        <w:rPr>
          <w:rFonts w:ascii="Sylfaen" w:hAnsi="Sylfaen"/>
          <w:color w:val="000000"/>
          <w:sz w:val="18"/>
          <w:szCs w:val="18"/>
        </w:rPr>
        <w:t>რეკომენდაცია</w:t>
      </w:r>
      <w:proofErr w:type="spellEnd"/>
      <w:r>
        <w:rPr>
          <w:rFonts w:ascii="Sylfaen" w:hAnsi="Sylfaen"/>
          <w:color w:val="000000"/>
          <w:sz w:val="18"/>
          <w:szCs w:val="18"/>
        </w:rPr>
        <w:t>.</w:t>
      </w:r>
    </w:p>
    <w:p w:rsidR="00843ECE" w:rsidRDefault="00843ECE"/>
    <w:sectPr w:rsidR="00843ECE" w:rsidSect="00843E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3FD"/>
    <w:rsid w:val="007933FD"/>
    <w:rsid w:val="0084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">
    <w:name w:val="sub"/>
    <w:basedOn w:val="DefaultParagraphFont"/>
    <w:rsid w:val="007933FD"/>
  </w:style>
  <w:style w:type="character" w:styleId="Strong">
    <w:name w:val="Strong"/>
    <w:basedOn w:val="DefaultParagraphFont"/>
    <w:uiPriority w:val="22"/>
    <w:qFormat/>
    <w:rsid w:val="007933FD"/>
    <w:rPr>
      <w:b/>
      <w:bCs/>
    </w:rPr>
  </w:style>
  <w:style w:type="character" w:customStyle="1" w:styleId="apple-converted-space">
    <w:name w:val="apple-converted-space"/>
    <w:basedOn w:val="DefaultParagraphFont"/>
    <w:rsid w:val="00793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2015-09-28T21:53:00Z</dcterms:created>
  <dcterms:modified xsi:type="dcterms:W3CDTF">2015-09-28T21:53:00Z</dcterms:modified>
</cp:coreProperties>
</file>