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ეპიდემიოლოგია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ევროკავშირის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ქვეყნებში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ფილტვის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კიბოს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სიხშირე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დაახლოებითი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მონაცემებით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წელიწადში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52,5–ს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შეადგენს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100000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მოსახლეზე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ხოლო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სიკვდლიანობა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– 48,7-ს.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მამაკაცებში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მაჩვენებლები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წელიწადში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შესაბამისად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82,5–ისა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77,0–ის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ტოლია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100000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მოსახლეზე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ხოლო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ქალებში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– 23,9-ის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22,3-ის.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ფილტვის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არაწვრილუჯრედოვანი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კიბო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ყველა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შემთხვევათა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80%–ს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შეადგენს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მამაკაცებში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ფილტვის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კიბოთი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სიკვდილიანობის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90%-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მდე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(80%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ქალებში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მჭიდროდ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დაკავშირებული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თამბაქოს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წევასთან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</w:p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დიაგნოზი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პათოლოგიური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დიაგნოზი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უნდა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დაისვას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ჯანდაცვის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მსოფლიოს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ორგანიზაციის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კლასიფიკაციის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შესაბამისად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ბრონქოსკოპიის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ქირურგიული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ბიოფსიის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trucut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ასპირაციის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საფუძველზე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</w:p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სტადირება</w:t>
      </w:r>
      <w:proofErr w:type="spellEnd"/>
      <w:proofErr w:type="gram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და</w:t>
      </w:r>
      <w:proofErr w:type="spell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რისკის</w:t>
      </w:r>
      <w:proofErr w:type="spell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შეფასება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სრულყოფილი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ანამნეზისა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ფიზიკური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გამოკვლევის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გარდა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საჭიროა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გულმკერდის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რენტგენოგრაფია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გულმკერდისა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მუცლის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ღრუს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ზედა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ნაწილის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კომპიუტერულ-ტომოგრაფიული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გამოკვლევა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ნევროლოგიური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ანამნეზის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ნერვული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სისტემის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მხრივ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პათოლოგიური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ცვლილებებისას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უნდა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გაკეთდეს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თავის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ტვინის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კტ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/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მაგნიტურ–რეზონანსული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გამოკვლევა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ხოლო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ძვლის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ტკივილისას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საჭიროა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ჩონჩხის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სცინტიგრაფია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შრატში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კალციუმისა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ტუტე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ფოსფატაზის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კონცენტრაციის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განსაზღვრა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  <w:r w:rsidRPr="001B3A60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პაციენტები</w:t>
      </w:r>
      <w:proofErr w:type="spellEnd"/>
      <w:proofErr w:type="gramEnd"/>
      <w:r w:rsidRPr="001B3A60">
        <w:rPr>
          <w:rStyle w:val="Strong"/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რომებიც</w:t>
      </w:r>
      <w:proofErr w:type="spellEnd"/>
      <w:r w:rsidRPr="001B3A60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ექვემდებარებიან</w:t>
      </w:r>
      <w:proofErr w:type="spellEnd"/>
      <w:r w:rsidRPr="001B3A60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რეზექციას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საჭიროა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მთლიანი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სხეულის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2–[ფლუორინ–18]ფლურო–2–დეოქსი–D–გლუკოზა (FDG)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პოზიტრონულ-ემისიული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ტომოგრაფიული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გამოკვლევა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(PET).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შუასაყარში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ნორმაზე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დიდი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კვანძის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აღმოჩენის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შემთხვევაში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უნდა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ჩატარდეს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მისი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ბიოფსია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gramStart"/>
      <w:r w:rsidRPr="001B3A60">
        <w:rPr>
          <w:rFonts w:ascii="Sylfaen" w:hAnsi="Sylfaen"/>
          <w:color w:val="000000"/>
          <w:sz w:val="22"/>
          <w:szCs w:val="22"/>
        </w:rPr>
        <w:t xml:space="preserve">III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კლინიკური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სტადიის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საჭიროებენ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თავის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ტვინის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კტ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-ს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/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მაგნიტურ-რეზონანსულ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გამოკვლევას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  <w:proofErr w:type="gram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პაციენტები</w:t>
      </w:r>
      <w:proofErr w:type="spellEnd"/>
      <w:proofErr w:type="gramEnd"/>
      <w:r w:rsidRPr="001B3A60">
        <w:rPr>
          <w:rStyle w:val="Strong"/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რომლებიც</w:t>
      </w:r>
      <w:proofErr w:type="spellEnd"/>
      <w:r w:rsidRPr="001B3A60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არ</w:t>
      </w:r>
      <w:proofErr w:type="spellEnd"/>
      <w:r w:rsidRPr="001B3A60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ექვემდებარებიან</w:t>
      </w:r>
      <w:proofErr w:type="spellEnd"/>
      <w:r w:rsidRPr="001B3A60">
        <w:rPr>
          <w:rStyle w:val="Strong"/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Style w:val="Strong"/>
          <w:rFonts w:ascii="Sylfaen" w:hAnsi="Sylfaen"/>
          <w:color w:val="000000"/>
          <w:sz w:val="22"/>
          <w:szCs w:val="22"/>
        </w:rPr>
        <w:t>რეზექციას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დაავადების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მეტასტაზური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გავრცელების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მქონე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ექვემდებარებიან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რეზექციას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გარდა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იზოლირებული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ექსტრათორაკული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მეტასტაზის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შემთხვევისა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მეტასტაზური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დაავადების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არსებობა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სხვამხრივ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პოტენციურად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რეზექტაბელურ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გამოირიცხება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ბიოფსიის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MRI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FDG-PET)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მეშვეობით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  <w:r w:rsidRPr="001B3A60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ფილტვის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არაწვრილუჯრედოვანი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კიბოს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მქონე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სტადირება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უნდა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მოხდეს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TNM–2002-სისტემის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შესაბამისად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დაიყოს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რისკ-კატეგორიებად</w:t>
      </w:r>
      <w:proofErr w:type="spellEnd"/>
    </w:p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ლოკალური</w:t>
      </w:r>
      <w:proofErr w:type="spellEnd"/>
      <w:proofErr w:type="gram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დაავადების</w:t>
      </w:r>
      <w:proofErr w:type="spell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მკურნალობა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ფილტვის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არაწვრილუჯრედოვანი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კიბოს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რეზექტაბელური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შემთხვევებისას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ქირურგია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წარმოადგენს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სტანდარტულ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მკურნალობას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ცისპლატინის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შემცველი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ადიუვანტური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ქიმიოთერაპია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ნაჩვენებია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II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IIIA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სტადიისას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თუმცა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აუცილებელი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IB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სტადიის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დროს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ოპერაციისწინა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ქიმიოთერაპია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შეიძლება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განვიხილოთ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კონკრეტული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პაციენტებისთვის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ცალკე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ანუ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N2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შემთხვევაში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).</w:t>
      </w:r>
      <w:r w:rsidRPr="001B3A60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ჯერჯერობით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დაუდგენელია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ასრულებს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თუ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ოპერაციისშემდგომი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რადიოთერაპია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რაიმე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როლს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შუასაყრის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ლიმფური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კვანძის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დაზიანების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მქონე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  <w:r w:rsidRPr="001B3A60">
        <w:rPr>
          <w:rFonts w:ascii="Sylfaen" w:hAnsi="Sylfaen"/>
          <w:color w:val="000000"/>
          <w:sz w:val="22"/>
          <w:szCs w:val="22"/>
        </w:rPr>
        <w:br/>
      </w:r>
      <w:proofErr w:type="gramStart"/>
      <w:r w:rsidRPr="001B3A60">
        <w:rPr>
          <w:rFonts w:ascii="Sylfaen" w:hAnsi="Sylfaen"/>
          <w:color w:val="000000"/>
          <w:sz w:val="22"/>
          <w:szCs w:val="22"/>
        </w:rPr>
        <w:t xml:space="preserve">I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კლინიკური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სტადიის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შერჩეულ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რადიოთერაპიით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როგორც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ერთადერთი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სამკურნალო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მეთოდით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შესაძლებელია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გადარჩენადობის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5-წლიანი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მაჩვენებლის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გაზრდა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40%–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მდე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ეს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მეთოდი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განსახილველია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I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II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სტადიის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მქონე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არაოპერაბელურ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პაციენტებშიც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  <w:r w:rsidRPr="001B3A60">
        <w:rPr>
          <w:rStyle w:val="apple-converted-space"/>
          <w:rFonts w:ascii="Sylfaen" w:hAnsi="Sylfaen"/>
          <w:color w:val="000000"/>
          <w:sz w:val="22"/>
          <w:szCs w:val="22"/>
        </w:rPr>
        <w:t> </w:t>
      </w:r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ადგილობრივად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გავრცელებული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არაოპერაბელური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ფილტვის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არაწვრილუჯრედოვანი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კიბოს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III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სტადიისას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სტანდარტულ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მკურნალობას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წარმოადგენს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პლატინის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შემცველი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ქიმიოთერაპია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გულმკერდის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რადიოთერაპია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</w:p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lastRenderedPageBreak/>
        <w:t>დაავადების</w:t>
      </w:r>
      <w:proofErr w:type="spellEnd"/>
      <w:proofErr w:type="gram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სტადიის</w:t>
      </w:r>
      <w:proofErr w:type="spell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IV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მკურნალობა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პლატინის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შემცველი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ქიმიოთერაპია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ვინორელბინთან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გემციტაბინთან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ტაქსანებთან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კომბინაციაში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ახანგრძლივებს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გადარჩენადობას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აუმჯობესებს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სიცოცხლის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ხარისხს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დადებითად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მართავს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სიმპტომებს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დამაკმაყოფილებელი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ზოგადი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მდგომარეობის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[I,A].</w:t>
      </w:r>
    </w:p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მეორე</w:t>
      </w:r>
      <w:proofErr w:type="spellEnd"/>
      <w:proofErr w:type="gram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ხაზის</w:t>
      </w:r>
      <w:proofErr w:type="spell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ქიმიოთერაპია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მეორე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ხაზის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სისტემური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მკურნალობა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(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დოცეტაქსელი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პემეტრექსატი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ერლოტინიბი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)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აუმჯობესებს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დაავადებასთან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დაკავშირებულ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სიმპტომებსა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ზრდის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გადარჩენადობას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proofErr w:type="gramStart"/>
      <w:r w:rsidRPr="001B3A60">
        <w:rPr>
          <w:rFonts w:ascii="Sylfaen" w:hAnsi="Sylfaen"/>
          <w:color w:val="000000"/>
          <w:sz w:val="22"/>
          <w:szCs w:val="22"/>
        </w:rPr>
        <w:t>ერლოტინიბით</w:t>
      </w:r>
      <w:proofErr w:type="spellEnd"/>
      <w:proofErr w:type="gram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მკურნალობა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უფრო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ეფექტურია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არამწეველ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ქალებში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ადენოკარცინომის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მქონე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პაციენტებსა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აზიელებში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</w:p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პასუხის</w:t>
      </w:r>
      <w:proofErr w:type="spellEnd"/>
      <w:proofErr w:type="gram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შეფასება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პასუხის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შეფასება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აუცილებელია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ქიმიოთერაპიის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ორი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სამი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ციკლის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დასრულების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შემდეგ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საწყისი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რადიოლოგიური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კვლევების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გამეორებით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</w:p>
    <w:p w:rsidR="001B3A60" w:rsidRPr="001B3A60" w:rsidRDefault="001B3A60" w:rsidP="001B3A60">
      <w:pPr>
        <w:pStyle w:val="NormalWeb"/>
        <w:spacing w:before="0" w:beforeAutospacing="0" w:after="0" w:afterAutospacing="0"/>
        <w:ind w:left="225" w:right="225"/>
        <w:rPr>
          <w:rFonts w:ascii="Sylfaen" w:hAnsi="Sylfaen"/>
          <w:color w:val="000000"/>
          <w:sz w:val="22"/>
          <w:szCs w:val="22"/>
        </w:rPr>
      </w:pPr>
      <w:proofErr w:type="spellStart"/>
      <w:proofErr w:type="gram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მკურნალობისშემდგომი</w:t>
      </w:r>
      <w:proofErr w:type="spellEnd"/>
      <w:proofErr w:type="gramEnd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 xml:space="preserve"> </w:t>
      </w:r>
      <w:proofErr w:type="spellStart"/>
      <w:r w:rsidRPr="001B3A60">
        <w:rPr>
          <w:rStyle w:val="sub"/>
          <w:rFonts w:ascii="Sylfaen" w:hAnsi="Sylfaen"/>
          <w:b/>
          <w:bCs/>
          <w:color w:val="333333"/>
          <w:sz w:val="22"/>
          <w:szCs w:val="22"/>
        </w:rPr>
        <w:t>დაკვირვება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br/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გულმკერდის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სიმსივნეების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მქონე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მკურნალობისშემდგომი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მართვის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ოპტიმალური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მიდგომის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საკითხი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წინააღმდეგობრივია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მათ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შორის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რადიოლოგიური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შეფასების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მნიშვნელობა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.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ნამკურნალევ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პაციენტებში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საჭიროა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ანამნეზის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შეკრება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ფიზიკური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გამოკვლევის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ჩატარება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ყოველ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3–6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თვეში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ერთხელ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მკურნალობიდან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პირველი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2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წლის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განმავლობაში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,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ხოლო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შემდეგ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–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ყოველ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6–12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თვეში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000000"/>
          <w:sz w:val="22"/>
          <w:szCs w:val="22"/>
        </w:rPr>
        <w:t>ერთხელ</w:t>
      </w:r>
      <w:proofErr w:type="spellEnd"/>
      <w:r w:rsidRPr="001B3A60">
        <w:rPr>
          <w:rFonts w:ascii="Sylfaen" w:hAnsi="Sylfaen"/>
          <w:color w:val="000000"/>
          <w:sz w:val="22"/>
          <w:szCs w:val="22"/>
        </w:rPr>
        <w:t>.</w:t>
      </w:r>
    </w:p>
    <w:p w:rsidR="001B3A60" w:rsidRPr="001B3A60" w:rsidRDefault="001B3A60" w:rsidP="001B3A60">
      <w:pPr>
        <w:pStyle w:val="selected"/>
        <w:spacing w:before="225" w:beforeAutospacing="0" w:after="225" w:afterAutospacing="0"/>
        <w:ind w:left="225" w:right="225"/>
        <w:rPr>
          <w:rFonts w:ascii="Sylfaen" w:hAnsi="Sylfaen"/>
          <w:color w:val="666666"/>
          <w:sz w:val="22"/>
          <w:szCs w:val="22"/>
        </w:rPr>
      </w:pPr>
      <w:r w:rsidRPr="001B3A60">
        <w:rPr>
          <w:rFonts w:ascii="Sylfaen" w:hAnsi="Sylfaen" w:cs="Sylfaen"/>
          <w:color w:val="666666"/>
          <w:sz w:val="22"/>
          <w:szCs w:val="22"/>
        </w:rPr>
        <w:t>﻿</w:t>
      </w:r>
      <w:proofErr w:type="spellStart"/>
      <w:proofErr w:type="gramStart"/>
      <w:r w:rsidRPr="001B3A60">
        <w:rPr>
          <w:rFonts w:ascii="Sylfaen" w:hAnsi="Sylfaen" w:cs="Sylfaen"/>
          <w:color w:val="666666"/>
          <w:sz w:val="22"/>
          <w:szCs w:val="22"/>
        </w:rPr>
        <w:t>ამერიკის</w:t>
      </w:r>
      <w:proofErr w:type="spellEnd"/>
      <w:proofErr w:type="gram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კლინიკურ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ონკოლოგთა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ასოციაციის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მიერ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გამოყენებული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სარწმუნოობის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დონეები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[I-V]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და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რეკომენდაციის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რანგები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[A-D]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მოცემულია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კვადრატულ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 w:cs="Sylfaen"/>
          <w:color w:val="666666"/>
          <w:sz w:val="22"/>
          <w:szCs w:val="22"/>
        </w:rPr>
        <w:t>ფრჩხილებში</w:t>
      </w:r>
      <w:proofErr w:type="spellEnd"/>
      <w:r w:rsidRPr="001B3A60">
        <w:rPr>
          <w:rFonts w:ascii="Sylfaen" w:hAnsi="Sylfaen" w:cs="Sylfaen"/>
          <w:color w:val="666666"/>
          <w:sz w:val="22"/>
          <w:szCs w:val="22"/>
        </w:rPr>
        <w:t xml:space="preserve">. </w:t>
      </w:r>
      <w:proofErr w:type="spellStart"/>
      <w:proofErr w:type="gramStart"/>
      <w:r w:rsidRPr="001B3A60">
        <w:rPr>
          <w:rFonts w:ascii="Sylfaen" w:hAnsi="Sylfaen" w:cs="Sylfaen"/>
          <w:color w:val="666666"/>
          <w:sz w:val="22"/>
          <w:szCs w:val="22"/>
        </w:rPr>
        <w:t>რანგირე</w:t>
      </w:r>
      <w:r w:rsidRPr="001B3A60">
        <w:rPr>
          <w:rFonts w:ascii="Sylfaen" w:hAnsi="Sylfaen"/>
          <w:color w:val="666666"/>
          <w:sz w:val="22"/>
          <w:szCs w:val="22"/>
        </w:rPr>
        <w:t>ბის</w:t>
      </w:r>
      <w:proofErr w:type="spellEnd"/>
      <w:proofErr w:type="gram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გარეშე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მოცემული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დებულებები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მიჩნეულია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მართებულ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სტანდარტულ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კლინიკურ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პრაქტიკად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ექსპერტი-ავტორებისა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და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ESMO- ს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წევრების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 xml:space="preserve"> </w:t>
      </w:r>
      <w:proofErr w:type="spellStart"/>
      <w:r w:rsidRPr="001B3A60">
        <w:rPr>
          <w:rFonts w:ascii="Sylfaen" w:hAnsi="Sylfaen"/>
          <w:color w:val="666666"/>
          <w:sz w:val="22"/>
          <w:szCs w:val="22"/>
        </w:rPr>
        <w:t>მიერ</w:t>
      </w:r>
      <w:proofErr w:type="spellEnd"/>
      <w:r w:rsidRPr="001B3A60">
        <w:rPr>
          <w:rFonts w:ascii="Sylfaen" w:hAnsi="Sylfaen"/>
          <w:color w:val="666666"/>
          <w:sz w:val="22"/>
          <w:szCs w:val="22"/>
        </w:rPr>
        <w:t>.</w:t>
      </w:r>
    </w:p>
    <w:p w:rsidR="005004E8" w:rsidRPr="001B3A60" w:rsidRDefault="005004E8"/>
    <w:sectPr w:rsidR="005004E8" w:rsidRPr="001B3A60" w:rsidSect="005004E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3A60"/>
    <w:rsid w:val="001B3A60"/>
    <w:rsid w:val="00500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">
    <w:name w:val="sub"/>
    <w:basedOn w:val="DefaultParagraphFont"/>
    <w:rsid w:val="001B3A60"/>
  </w:style>
  <w:style w:type="character" w:customStyle="1" w:styleId="apple-converted-space">
    <w:name w:val="apple-converted-space"/>
    <w:basedOn w:val="DefaultParagraphFont"/>
    <w:rsid w:val="001B3A60"/>
  </w:style>
  <w:style w:type="character" w:styleId="Strong">
    <w:name w:val="Strong"/>
    <w:basedOn w:val="DefaultParagraphFont"/>
    <w:uiPriority w:val="22"/>
    <w:qFormat/>
    <w:rsid w:val="001B3A60"/>
    <w:rPr>
      <w:b/>
      <w:bCs/>
    </w:rPr>
  </w:style>
  <w:style w:type="paragraph" w:customStyle="1" w:styleId="selected">
    <w:name w:val="selected"/>
    <w:basedOn w:val="Normal"/>
    <w:rsid w:val="001B3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3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3558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2015-09-28T22:01:00Z</dcterms:created>
  <dcterms:modified xsi:type="dcterms:W3CDTF">2015-09-28T22:02:00Z</dcterms:modified>
</cp:coreProperties>
</file>