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модели эпидемии SIR на языке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35.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 на острове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12300</m:t>
            </m:r>
          </m:e>
        </m:d>
      </m:oMath>
      <w:r>
        <w:t xml:space="preserve"> </w:t>
      </w:r>
      <w:r>
        <w:t xml:space="preserve">в момент начала эпидемии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140</m:t>
        </m:r>
      </m:oMath>
      <w:r>
        <w:t xml:space="preserve">, А число здоровых людей с иммунитетом</w:t>
      </w:r>
      <w:r>
        <w:t xml:space="preserve"> </w:t>
      </w:r>
      <w:r>
        <w:t xml:space="preserve">к болезни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54</m:t>
        </m:r>
      </m:oMath>
      <w:r>
        <w:t xml:space="preserve">. Таким образом, число людей восприимчивых к болезни,</w:t>
      </w:r>
      <w:r>
        <w:t xml:space="preserve"> </w:t>
      </w:r>
      <w:r>
        <w:t xml:space="preserve">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</w:p>
    <w:p>
      <w:pPr>
        <w:numPr>
          <w:ilvl w:val="0"/>
          <w:numId w:val="1001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1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лечится, то есть: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 Для того, чтобы решения соответствующих уравнений определялось однозначно, необходимо задать начальные условия. Считаем, что на начало 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2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Напишем код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12300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I_0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</w:t>
      </w:r>
      <w:r>
        <w:br/>
      </w:r>
      <w:r>
        <w:rPr>
          <w:rStyle w:val="NormalTok"/>
        </w:rPr>
        <w:t xml:space="preserve">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</w:t>
      </w:r>
      <w:r>
        <w:br/>
      </w:r>
      <w:r>
        <w:rPr>
          <w:rStyle w:val="NormalTok"/>
        </w:rPr>
        <w:t xml:space="preserve">S_0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I_0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[S_0, I_0, R_0]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</w:t>
      </w:r>
      <w:r>
        <w:rPr>
          <w:rStyle w:val="NormalTok"/>
        </w:rPr>
        <w:t xml:space="preserve">(u, p, t) </w:t>
      </w:r>
      <w:r>
        <w:rPr>
          <w:rStyle w:val="CommentTok"/>
        </w:rPr>
        <w:t xml:space="preserve"># если I_0&lt;I*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dI, dR]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odu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(SIR, u0, tspan, p)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"МодельSIR, I_0&lt;I*"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работы модели получим следующий график (рис. 1).</w:t>
      </w:r>
    </w:p>
    <w:p>
      <w:pPr>
        <w:pStyle w:val="CaptionedFigure"/>
      </w:pPr>
      <w:r>
        <w:drawing>
          <wp:inline>
            <wp:extent cx="3733800" cy="2494316"/>
            <wp:effectExtent b="0" l="0" r="0" t="0"/>
            <wp:docPr descr="График работы модели SIR при изолированных больных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работы модели SIR при изолированных больных</w:t>
      </w:r>
    </w:p>
    <w:p>
      <w:pPr>
        <w:pStyle w:val="BodyText"/>
      </w:pPr>
      <w:r>
        <w:t xml:space="preserve">Напишем код для случая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12300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I_0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</w:t>
      </w:r>
      <w:r>
        <w:br/>
      </w:r>
      <w:r>
        <w:rPr>
          <w:rStyle w:val="NormalTok"/>
        </w:rPr>
        <w:t xml:space="preserve">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</w:t>
      </w:r>
      <w:r>
        <w:br/>
      </w:r>
      <w:r>
        <w:rPr>
          <w:rStyle w:val="NormalTok"/>
        </w:rPr>
        <w:t xml:space="preserve">S_0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I_0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[S_0, I_0, R_0]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SIR1</w:t>
      </w:r>
      <w:r>
        <w:rPr>
          <w:rStyle w:val="NormalTok"/>
        </w:rPr>
        <w:t xml:space="preserve">(u, p, t) </w:t>
      </w:r>
      <w:r>
        <w:rPr>
          <w:rStyle w:val="CommentTok"/>
        </w:rPr>
        <w:t xml:space="preserve"># если I_0&gt;I*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dI, dR]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odu2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(SIR1, u0, tspan, p)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"МодельSIR, I_0&gt;I*"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работы модели получим следующий график (рис. 2).</w:t>
      </w:r>
    </w:p>
    <w:p>
      <w:pPr>
        <w:pStyle w:val="CaptionedFigure"/>
      </w:pPr>
      <w:r>
        <w:drawing>
          <wp:inline>
            <wp:extent cx="3733800" cy="2418484"/>
            <wp:effectExtent b="0" l="0" r="0" t="0"/>
            <wp:docPr descr="График работы модели SIR при возможности взаимного заражен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работы модели SIR при возможности взаимного заражения</w:t>
      </w:r>
    </w:p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 графиков следует, что при изолировании системы число здоровых особей не изменяется, так как их некому заразить. В неизолированной модели показатели численности здоровых падаю в зависимости от числа заболевших (и наоборот).</w:t>
      </w:r>
    </w:p>
    <w:p>
      <w:pPr>
        <w:pStyle w:val="BodyText"/>
      </w:pPr>
      <w:r>
        <w:t xml:space="preserve">Я посмтроила модели и провела их анализ.</w:t>
      </w:r>
    </w:p>
    <w:bookmarkEnd w:id="30"/>
    <w:bookmarkStart w:id="33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FirstParagraph"/>
      </w:pPr>
      <w:hyperlink r:id="rId31">
        <w:r>
          <w:rPr>
            <w:rStyle w:val="Hyperlink"/>
          </w:rPr>
          <w:t xml:space="preserve">Лабораторная работа №6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Задания к лабораторной работе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1" Target="https://esystem.rudn.ru/mod/resource/view.php?id=1222506" TargetMode="External" /><Relationship Type="http://schemas.openxmlformats.org/officeDocument/2006/relationships/hyperlink" Id="rId32" Target="https://esystem.rudn.ru/mod/resource/view.php?id=12225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system.rudn.ru/mod/resource/view.php?id=1222506" TargetMode="External" /><Relationship Type="http://schemas.openxmlformats.org/officeDocument/2006/relationships/hyperlink" Id="rId32" Target="https://esystem.rudn.ru/mod/resource/view.php?id=12225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Александрова Ульяна Вадимовна</dc:creator>
  <dc:language>ru-RU</dc:language>
  <cp:keywords/>
  <dcterms:created xsi:type="dcterms:W3CDTF">2025-05-03T20:19:07Z</dcterms:created>
  <dcterms:modified xsi:type="dcterms:W3CDTF">2025-05-03T20:19:07Z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