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№3</w:t>
      </w:r>
    </w:p>
    <w:p>
      <w:pPr>
        <w:pStyle w:val="Subtitle"/>
      </w:pPr>
      <w:r>
        <w:t xml:space="preserve">Математическое</w:t>
      </w:r>
      <w:r>
        <w:t xml:space="preserve"> </w:t>
      </w:r>
      <w:r>
        <w:t xml:space="preserve">моделирование</w:t>
      </w:r>
    </w:p>
    <w:p>
      <w:pPr>
        <w:pStyle w:val="Author"/>
      </w:pPr>
      <w:r>
        <w:t xml:space="preserve">Александрова</w:t>
      </w:r>
      <w:r>
        <w:t xml:space="preserve"> </w:t>
      </w:r>
      <w:r>
        <w:t xml:space="preserve">Ульяна</w:t>
      </w:r>
      <w:r>
        <w:t xml:space="preserve"> </w:t>
      </w:r>
      <w:r>
        <w:t xml:space="preserve">Вадимовна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работы является построение модели боевых действий на языке Julia.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ВАРИАНТ 35</w:t>
      </w:r>
    </w:p>
    <w:p>
      <w:pPr>
        <w:pStyle w:val="BodyText"/>
      </w:pPr>
      <w:r>
        <w:t xml:space="preserve">Между страной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 страной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идет война. Численность состава войск исчисляется от начала войны, и являются временными функциями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. В начальный момент времени страна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имеет армию численностью 31 050 человек, а в распоряжении страны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армия численностью в 20 002 человек. Для упрощения модели считаем, что коэффициенты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</m:oMath>
      <w:r>
        <w:t xml:space="preserve"> </w:t>
      </w:r>
      <w:r>
        <w:t xml:space="preserve">постоянны. Также считаем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непрерывные функции.</w:t>
      </w:r>
    </w:p>
    <w:p>
      <w:pPr>
        <w:pStyle w:val="BodyText"/>
      </w:pPr>
      <w:r>
        <w:t xml:space="preserve">Построить графики изменения численности войск армии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 армии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для следующих случаев:</w:t>
      </w:r>
    </w:p>
    <w:p>
      <w:pPr>
        <w:pStyle w:val="Compact"/>
        <w:numPr>
          <w:ilvl w:val="0"/>
          <w:numId w:val="1001"/>
        </w:numPr>
      </w:pPr>
      <w:r>
        <w:t xml:space="preserve">Модель боевых действий между регулярными войсками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0.25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0.74</m:t>
                    </m:r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s</m:t>
                    </m:r>
                    <m:r>
                      <m:t>i</m:t>
                    </m:r>
                    <m:r>
                      <m:t>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0.64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0.55</m:t>
                    </m:r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  <m:r>
                      <m:t>o</m:t>
                    </m:r>
                    <m:r>
                      <m:t>s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Compact"/>
        <w:numPr>
          <w:ilvl w:val="0"/>
          <w:numId w:val="1002"/>
        </w:numPr>
      </w:pPr>
      <w:r>
        <w:t xml:space="preserve">Модель ведение боевых действий с участием регулярных войск и партизанских отрядов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0.32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0.89</m:t>
                    </m:r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*</m:t>
                    </m:r>
                    <m:r>
                      <m:t>s</m:t>
                    </m:r>
                    <m:r>
                      <m:t>i</m:t>
                    </m:r>
                    <m:r>
                      <m:t>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10</m:t>
                        </m:r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0.51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0.62</m:t>
                    </m:r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*</m:t>
                    </m:r>
                    <m:r>
                      <m:t>c</m:t>
                    </m:r>
                    <m:r>
                      <m:t>o</m:t>
                    </m:r>
                    <m:r>
                      <m:t>s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10</m:t>
                        </m:r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В противоборстве могут принимать участие как регулярные войска, так и партизанские отряды. В общем случае главной характеристикой соперников являются численности сторон. Если в какой-то момент времени одна из численностей обращается в нуль, то данная сторона считается проигравшей (при условии, что численность другой стороны в данный момент положительна).</w:t>
      </w:r>
    </w:p>
    <w:bookmarkEnd w:id="22"/>
    <w:bookmarkStart w:id="29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Зададим коэффициент смертности, не связанный с боевыми действиями у первой армии 0,25, у второй 0,55. Коэффициенты эффективности первой и второй армии 0,64 и 0,74 соответственно. Функция, описывающая подход подкрепление первой армии,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s</m:t>
        </m:r>
        <m:r>
          <m:t>i</m:t>
        </m:r>
        <m:r>
          <m:t>n</m:t>
        </m:r>
        <m:r>
          <m:t>t</m:t>
        </m:r>
        <m:r>
          <m:rPr>
            <m:sty m:val="p"/>
          </m:rPr>
          <m:t>+</m:t>
        </m:r>
        <m:r>
          <m:t>1</m:t>
        </m:r>
      </m:oMath>
      <w:r>
        <w:t xml:space="preserve">, подкрепление второй армии описывается функцией</w:t>
      </w:r>
      <w:r>
        <w:t xml:space="preserve"> 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c</m:t>
        </m:r>
        <m:r>
          <m:t>o</m:t>
        </m:r>
        <m:r>
          <m:t>s</m:t>
        </m:r>
        <m:r>
          <m:t>t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Построим графики через утилиту Julia.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br/>
      </w:r>
      <w:r>
        <w:rPr>
          <w:rStyle w:val="CommentTok"/>
        </w:rPr>
        <w:t xml:space="preserve"># constanty </w:t>
      </w:r>
      <w:r>
        <w:br/>
      </w:r>
      <w:r>
        <w:rPr>
          <w:rStyle w:val="NormalTok"/>
        </w:rPr>
        <w:t xml:space="preserve">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31050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20002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abch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kater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between_common</w:t>
      </w:r>
      <w:r>
        <w:rPr>
          <w:rStyle w:val="NormalTok"/>
        </w:rPr>
        <w:t xml:space="preserve">(xy, abch, t)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xy </w:t>
      </w:r>
      <w:r>
        <w:br/>
      </w:r>
      <w:r>
        <w:rPr>
          <w:rStyle w:val="NormalTok"/>
        </w:rPr>
        <w:t xml:space="preserve">    a, b, c,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abch</w:t>
      </w:r>
      <w:r>
        <w:br/>
      </w:r>
      <w:r>
        <w:rPr>
          <w:rStyle w:val="NormalTok"/>
        </w:rPr>
        <w:t xml:space="preserve">    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[dx, dy]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odu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(between_common, xy, tspan, abch)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(odu,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(result,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"Модель боевых действий"</w:t>
      </w:r>
      <w:r>
        <w:rPr>
          <w:rStyle w:val="NormalTok"/>
        </w:rPr>
        <w:t xml:space="preserve">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"Army X"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"Army Y"</w:t>
      </w:r>
      <w:r>
        <w:rPr>
          <w:rStyle w:val="NormalTok"/>
        </w:rPr>
        <w:t xml:space="preserve">],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Результат представлен на графике (рис. 1).</w:t>
      </w:r>
    </w:p>
    <w:p>
      <w:pPr>
        <w:pStyle w:val="CaptionedFigure"/>
      </w:pPr>
      <w:r>
        <w:drawing>
          <wp:inline>
            <wp:extent cx="3733800" cy="2466080"/>
            <wp:effectExtent b="0" l="0" r="0" t="0"/>
            <wp:docPr descr="Модель боевых действий между регулярными войсками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6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Модель боевых действий между регулярными войсками</w:t>
      </w:r>
    </w:p>
    <w:p>
      <w:pPr>
        <w:pStyle w:val="BodyText"/>
      </w:pPr>
      <w:r>
        <w:t xml:space="preserve">Мы видим, что на графике побеждает армия Х, так как численность армии Y быстрее достигла нуля. Однако уменьшение численности армии происходит равномерно.</w:t>
      </w:r>
    </w:p>
    <w:p>
      <w:pPr>
        <w:pStyle w:val="BodyText"/>
      </w:pPr>
      <w:r>
        <w:t xml:space="preserve">Во втором случае в борьбу добавляются партизанские отряды. Нерегулярные войска в отличии от постоянной армии менее уязвимы, так как действуют скрытно, в этом случае сопернику приходится действовать неизбирательно, по площадям, занимаемым партизанами. Поэтому считается, что тем потерь партизан, проводящих свои операции в разных местах на некоторой известной территории, пропорционален не только численности армейских соединений, но и численности самих партизан.</w:t>
      </w:r>
    </w:p>
    <w:p>
      <w:pPr>
        <w:pStyle w:val="BodyText"/>
      </w:pPr>
      <w:r>
        <w:t xml:space="preserve">Построим модель на Julia:</w:t>
      </w:r>
    </w:p>
    <w:p>
      <w:pPr>
        <w:pStyle w:val="SourceCode"/>
      </w:pPr>
      <w:r>
        <w:rPr>
          <w:rStyle w:val="CommentTok"/>
        </w:rPr>
        <w:t xml:space="preserve"># constanty </w:t>
      </w:r>
      <w:r>
        <w:br/>
      </w:r>
      <w:r>
        <w:rPr>
          <w:rStyle w:val="NormalTok"/>
        </w:rPr>
        <w:t xml:space="preserve">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31050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20002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abch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0.32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kater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between_common_part</w:t>
      </w:r>
      <w:r>
        <w:rPr>
          <w:rStyle w:val="NormalTok"/>
        </w:rPr>
        <w:t xml:space="preserve">(xy, abch, t)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xy </w:t>
      </w:r>
      <w:r>
        <w:br/>
      </w:r>
      <w:r>
        <w:rPr>
          <w:rStyle w:val="NormalTok"/>
        </w:rPr>
        <w:t xml:space="preserve">    a, b, c,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abch</w:t>
      </w:r>
      <w:r>
        <w:br/>
      </w:r>
      <w:r>
        <w:rPr>
          <w:rStyle w:val="NormalTok"/>
        </w:rPr>
        <w:t xml:space="preserve">    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FunctionTok"/>
        </w:rPr>
        <w:t xml:space="preserve">*sin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    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FunctionTok"/>
        </w:rPr>
        <w:t xml:space="preserve">*cos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[dx, dy]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odu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(between_common_part, xy, tspan, abch)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(odu,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(result,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"Модель боевых действий"</w:t>
      </w:r>
      <w:r>
        <w:rPr>
          <w:rStyle w:val="NormalTok"/>
        </w:rPr>
        <w:t xml:space="preserve">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"Army X"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"Army Y"</w:t>
      </w:r>
      <w:r>
        <w:rPr>
          <w:rStyle w:val="NormalTok"/>
        </w:rPr>
        <w:t xml:space="preserve">],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Результат представлен на графике (рис. 2).</w:t>
      </w:r>
    </w:p>
    <w:p>
      <w:pPr>
        <w:pStyle w:val="CaptionedFigure"/>
      </w:pPr>
      <w:r>
        <w:drawing>
          <wp:inline>
            <wp:extent cx="3733800" cy="2426393"/>
            <wp:effectExtent b="0" l="0" r="0" t="0"/>
            <wp:docPr descr="Модель ведение боевых действий с участием регулярных войск и партизанских отрядов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6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Модель ведение боевых действий с участием регулярных войск и партизанских отрядов</w:t>
      </w:r>
    </w:p>
    <w:p>
      <w:pPr>
        <w:pStyle w:val="BodyText"/>
      </w:pPr>
      <w:r>
        <w:t xml:space="preserve">По графику видно, что уменьшение численность армии Y происходит мгновенно, вероятно из-за возникновения дополнительныз отрядов. При этом численность Армии X не почти не меняется со временем, так как она победила.</w:t>
      </w:r>
    </w:p>
    <w:bookmarkEnd w:id="29"/>
    <w:bookmarkStart w:id="30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У меня получилось построить модель боевых действий в утилите Julia.</w:t>
      </w:r>
    </w:p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Александрова Ульяна Вадимовна</dc:creator>
  <dc:language>ru-RU</dc:language>
  <cp:keywords/>
  <dcterms:created xsi:type="dcterms:W3CDTF">2025-03-22T14:44:00Z</dcterms:created>
  <dcterms:modified xsi:type="dcterms:W3CDTF">2025-03-22T14:44:00Z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IBM Plex Serif</vt:lpwstr>
  </property>
  <property fmtid="{D5CDD505-2E9C-101B-9397-08002B2CF9AE}" pid="58" name="mainfontoptions">
    <vt:lpwstr>Ligatures=Common,Ligatures=TeX,Scale=0.94</vt:lpwstr>
  </property>
  <property fmtid="{D5CDD505-2E9C-101B-9397-08002B2CF9AE}" pid="59" name="mathfont">
    <vt:lpwstr>STIX Two Math</vt:lpwstr>
  </property>
  <property fmtid="{D5CDD505-2E9C-101B-9397-08002B2CF9AE}" pid="60" name="mathfontoptions">
    <vt:lpwstr/>
  </property>
  <property fmtid="{D5CDD505-2E9C-101B-9397-08002B2CF9AE}" pid="61" name="monofont">
    <vt:lpwstr>IBM Plex Mono</vt:lpwstr>
  </property>
  <property fmtid="{D5CDD505-2E9C-101B-9397-08002B2CF9AE}" pid="62" name="monofontoptions">
    <vt:lpwstr>Scale=MatchLowercase,Scale=0.94,FakeStretch=0.9</vt:lpwstr>
  </property>
  <property fmtid="{D5CDD505-2E9C-101B-9397-08002B2CF9AE}" pid="63" name="nameInLink">
    <vt:lpwstr>False</vt:lpwstr>
  </property>
  <property fmtid="{D5CDD505-2E9C-101B-9397-08002B2CF9AE}" pid="64" name="numberSections">
    <vt:lpwstr>False</vt:lpwstr>
  </property>
  <property fmtid="{D5CDD505-2E9C-101B-9397-08002B2CF9AE}" pid="65" name="pairDelim">
    <vt:lpwstr>, </vt:lpwstr>
  </property>
  <property fmtid="{D5CDD505-2E9C-101B-9397-08002B2CF9AE}" pid="66" name="papersize">
    <vt:lpwstr>a4</vt:lpwstr>
  </property>
  <property fmtid="{D5CDD505-2E9C-101B-9397-08002B2CF9AE}" pid="67" name="polyglossia-lang">
    <vt:lpwstr/>
  </property>
  <property fmtid="{D5CDD505-2E9C-101B-9397-08002B2CF9AE}" pid="68" name="polyglossia-otherlangs">
    <vt:lpwstr/>
  </property>
  <property fmtid="{D5CDD505-2E9C-101B-9397-08002B2CF9AE}" pid="69" name="rangeDelim">
    <vt:lpwstr>-</vt:lpwstr>
  </property>
  <property fmtid="{D5CDD505-2E9C-101B-9397-08002B2CF9AE}" pid="70" name="refDelim">
    <vt:lpwstr>, </vt:lpwstr>
  </property>
  <property fmtid="{D5CDD505-2E9C-101B-9397-08002B2CF9AE}" pid="71" name="refIndexTemplate">
    <vt:lpwstr>isuf</vt:lpwstr>
  </property>
  <property fmtid="{D5CDD505-2E9C-101B-9397-08002B2CF9AE}" pid="72" name="romanfont">
    <vt:lpwstr>IBM Plex Serif</vt:lpwstr>
  </property>
  <property fmtid="{D5CDD505-2E9C-101B-9397-08002B2CF9AE}" pid="73" name="romanfontoptions">
    <vt:lpwstr>Ligatures=Common,Ligatures=TeX,Scale=0.94</vt:lpwstr>
  </property>
  <property fmtid="{D5CDD505-2E9C-101B-9397-08002B2CF9AE}" pid="74" name="sansfont">
    <vt:lpwstr>IBM Plex Sans</vt:lpwstr>
  </property>
  <property fmtid="{D5CDD505-2E9C-101B-9397-08002B2CF9AE}" pid="75" name="sansfontoptions">
    <vt:lpwstr>Ligatures=Common,Ligatures=TeX,Scale=MatchLowercase,Scale=0.94</vt:lpwstr>
  </property>
  <property fmtid="{D5CDD505-2E9C-101B-9397-08002B2CF9AE}" pid="76" name="secHeaderDelim">
    <vt:lpwstr> </vt:lpwstr>
  </property>
  <property fmtid="{D5CDD505-2E9C-101B-9397-08002B2CF9AE}" pid="77" name="secHeaderTemplate">
    <vt:lpwstr>isecHeaderDelim[n]t</vt:lpwstr>
  </property>
  <property fmtid="{D5CDD505-2E9C-101B-9397-08002B2CF9AE}" pid="78" name="secLabels">
    <vt:lpwstr>arabic</vt:lpwstr>
  </property>
  <property fmtid="{D5CDD505-2E9C-101B-9397-08002B2CF9AE}" pid="79" name="secPrefix">
    <vt:lpwstr/>
  </property>
  <property fmtid="{D5CDD505-2E9C-101B-9397-08002B2CF9AE}" pid="80" name="secPrefixTemplate">
    <vt:lpwstr>p i</vt:lpwstr>
  </property>
  <property fmtid="{D5CDD505-2E9C-101B-9397-08002B2CF9AE}" pid="81" name="sectionsDepth">
    <vt:lpwstr>0</vt:lpwstr>
  </property>
  <property fmtid="{D5CDD505-2E9C-101B-9397-08002B2CF9AE}" pid="82" name="subfigGrid">
    <vt:lpwstr>False</vt:lpwstr>
  </property>
  <property fmtid="{D5CDD505-2E9C-101B-9397-08002B2CF9AE}" pid="83" name="subfigLabels">
    <vt:lpwstr>alpha a</vt:lpwstr>
  </property>
  <property fmtid="{D5CDD505-2E9C-101B-9397-08002B2CF9AE}" pid="84" name="subfigureChildTemplate">
    <vt:lpwstr>i</vt:lpwstr>
  </property>
  <property fmtid="{D5CDD505-2E9C-101B-9397-08002B2CF9AE}" pid="85" name="subfigureRefIndexTemplate">
    <vt:lpwstr>isuf (s)</vt:lpwstr>
  </property>
  <property fmtid="{D5CDD505-2E9C-101B-9397-08002B2CF9AE}" pid="86" name="subfigureTemplate">
    <vt:lpwstr>figureTitle ititleDelim t. ccs</vt:lpwstr>
  </property>
  <property fmtid="{D5CDD505-2E9C-101B-9397-08002B2CF9AE}" pid="87" name="subtitle">
    <vt:lpwstr>Математическое моделирование</vt:lpwstr>
  </property>
  <property fmtid="{D5CDD505-2E9C-101B-9397-08002B2CF9AE}" pid="88" name="tableEqns">
    <vt:lpwstr>False</vt:lpwstr>
  </property>
  <property fmtid="{D5CDD505-2E9C-101B-9397-08002B2CF9AE}" pid="89" name="tableTemplate">
    <vt:lpwstr>tableTitle ititleDelim t</vt:lpwstr>
  </property>
  <property fmtid="{D5CDD505-2E9C-101B-9397-08002B2CF9AE}" pid="90" name="tableTitle">
    <vt:lpwstr>Таблица</vt:lpwstr>
  </property>
  <property fmtid="{D5CDD505-2E9C-101B-9397-08002B2CF9AE}" pid="91" name="tblLabels">
    <vt:lpwstr>arabic</vt:lpwstr>
  </property>
  <property fmtid="{D5CDD505-2E9C-101B-9397-08002B2CF9AE}" pid="92" name="tblPrefix">
    <vt:lpwstr/>
  </property>
  <property fmtid="{D5CDD505-2E9C-101B-9397-08002B2CF9AE}" pid="93" name="tblPrefixTemplate">
    <vt:lpwstr>p i</vt:lpwstr>
  </property>
  <property fmtid="{D5CDD505-2E9C-101B-9397-08002B2CF9AE}" pid="94" name="titleDelim">
    <vt:lpwstr>:</vt:lpwstr>
  </property>
  <property fmtid="{D5CDD505-2E9C-101B-9397-08002B2CF9AE}" pid="95" name="toc">
    <vt:lpwstr>True</vt:lpwstr>
  </property>
  <property fmtid="{D5CDD505-2E9C-101B-9397-08002B2CF9AE}" pid="96" name="toc-depth">
    <vt:lpwstr>2</vt:lpwstr>
  </property>
  <property fmtid="{D5CDD505-2E9C-101B-9397-08002B2CF9AE}" pid="97" name="toc-title">
    <vt:lpwstr>Содержание</vt:lpwstr>
  </property>
</Properties>
</file>