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  <Override PartName="/word/media/rId46.png" ContentType="image/png"/>
  <Override PartName="/word/media/rId43.png" ContentType="image/png"/>
  <Override PartName="/word/media/rId54.png" ContentType="image/png"/>
  <Override PartName="/word/media/rId27.png" ContentType="image/png"/>
  <Override PartName="/word/media/rId40.png" ContentType="image/png"/>
  <Override PartName="/word/media/rId30.png" ContentType="image/png"/>
  <Override PartName="/word/media/rId37.png" ContentType="image/png"/>
  <Override PartName="/word/media/rId33.png" ContentType="image/png"/>
  <Override PartName="/word/media/rId49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№16</w:t>
      </w:r>
    </w:p>
    <w:p>
      <w:pPr>
        <w:pStyle w:val="Subtitle"/>
      </w:pPr>
      <w:r>
        <w:t xml:space="preserve">Имитационное</w:t>
      </w:r>
      <w:r>
        <w:t xml:space="preserve"> </w:t>
      </w:r>
      <w:r>
        <w:t xml:space="preserve">моделирование</w:t>
      </w:r>
    </w:p>
    <w:p>
      <w:pPr>
        <w:pStyle w:val="Author"/>
      </w:pPr>
      <w:r>
        <w:t xml:space="preserve">Александрова</w:t>
      </w:r>
      <w:r>
        <w:t xml:space="preserve"> </w:t>
      </w:r>
      <w:r>
        <w:t xml:space="preserve">Ульяна</w:t>
      </w:r>
      <w:r>
        <w:t xml:space="preserve"> </w:t>
      </w:r>
      <w:r>
        <w:t xml:space="preserve">Вадимовна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Целью данной лабораторной работы является построение моделей двух стратегий обслуживания и решение задачи оптимизации.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FirstParagraph"/>
      </w:pPr>
      <w:r>
        <w:t xml:space="preserve">На пограничном контрольно-пропускном пункте транспорта имеются 2 пункта</w:t>
      </w:r>
      <w:r>
        <w:t xml:space="preserve"> </w:t>
      </w:r>
      <w:r>
        <w:t xml:space="preserve">пропуска. Интервалы времени между поступлением автомобилей имеют экспоненциальное распределение со средним значением</w:t>
      </w:r>
      <w:r>
        <w:t xml:space="preserve"> </w:t>
      </w:r>
      <m:oMath>
        <m:r>
          <m:t>μ</m:t>
        </m:r>
      </m:oMath>
      <w:r>
        <w:t xml:space="preserve">. Время прохождения автомобилями</w:t>
      </w:r>
      <w:r>
        <w:t xml:space="preserve"> </w:t>
      </w:r>
      <w:r>
        <w:t xml:space="preserve">пограничного контроля имеет равномерное распределение на интервале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t xml:space="preserve">.</w:t>
      </w:r>
      <w:r>
        <w:t xml:space="preserve"> </w:t>
      </w:r>
      <w:r>
        <w:t xml:space="preserve">Предлагается две стратегии обслуживания прибывающих автомобилей:</w:t>
      </w:r>
    </w:p>
    <w:p>
      <w:pPr>
        <w:pStyle w:val="Compact"/>
        <w:numPr>
          <w:ilvl w:val="0"/>
          <w:numId w:val="1001"/>
        </w:numPr>
      </w:pPr>
      <w:r>
        <w:t xml:space="preserve">автомобили образуют две очереди и обслуживаются соответствующими пунктами</w:t>
      </w:r>
      <w:r>
        <w:t xml:space="preserve"> </w:t>
      </w:r>
      <w:r>
        <w:t xml:space="preserve">пропуска;</w:t>
      </w:r>
    </w:p>
    <w:p>
      <w:pPr>
        <w:pStyle w:val="Compact"/>
        <w:numPr>
          <w:ilvl w:val="0"/>
          <w:numId w:val="1001"/>
        </w:numPr>
      </w:pPr>
      <w:r>
        <w:t xml:space="preserve">автомобили образуют одну общую очередь и обслуживаются освободившимся</w:t>
      </w:r>
      <w:r>
        <w:t xml:space="preserve"> </w:t>
      </w:r>
      <w:r>
        <w:t xml:space="preserve">пунктом пропуска.</w:t>
      </w:r>
      <w:r>
        <w:t xml:space="preserve"> </w:t>
      </w:r>
      <w:r>
        <w:t xml:space="preserve">Исходные данные: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= 1, 75 мин,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= 1 мин,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= 7 мин.</w:t>
      </w:r>
    </w:p>
    <w:p>
      <w:pPr>
        <w:pStyle w:val="FirstParagraph"/>
      </w:pPr>
      <w:r>
        <w:t xml:space="preserve">Свести полученные статистики моделирования в таблицу.</w:t>
      </w:r>
    </w:p>
    <w:p>
      <w:pPr>
        <w:pStyle w:val="BodyText"/>
      </w:pPr>
      <w:r>
        <w:t xml:space="preserve">Построить с помощью GPSS:</w:t>
      </w:r>
    </w:p>
    <w:p>
      <w:pPr>
        <w:pStyle w:val="BodyText"/>
      </w:pPr>
      <w:r>
        <w:t xml:space="preserve">Определить оптимальное число пропускных пунктов (от 1 до 4) под следующие критерии:</w:t>
      </w:r>
    </w:p>
    <w:p>
      <w:pPr>
        <w:pStyle w:val="Compact"/>
        <w:numPr>
          <w:ilvl w:val="0"/>
          <w:numId w:val="1002"/>
        </w:numPr>
      </w:pPr>
      <w:r>
        <w:t xml:space="preserve">коэффициент загрузки пропускных пунктов принадлежит интервалу [0, 5; 0, 95];</w:t>
      </w:r>
    </w:p>
    <w:p>
      <w:pPr>
        <w:pStyle w:val="Compact"/>
        <w:numPr>
          <w:ilvl w:val="0"/>
          <w:numId w:val="1002"/>
        </w:numPr>
      </w:pPr>
      <w:r>
        <w:t xml:space="preserve">среднее число автомобилей, одновременно находящихся на контрольно пропускном пункте, не должно превышать 3;</w:t>
      </w:r>
    </w:p>
    <w:p>
      <w:pPr>
        <w:pStyle w:val="Compact"/>
        <w:numPr>
          <w:ilvl w:val="0"/>
          <w:numId w:val="1002"/>
        </w:numPr>
      </w:pPr>
      <w:r>
        <w:t xml:space="preserve">среднее время ожидания обслуживания не должно превышать 4 мин.</w:t>
      </w:r>
    </w:p>
    <w:bookmarkEnd w:id="21"/>
    <w:bookmarkStart w:id="23" w:name="теоретическое-введ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Теоретическое введение</w:t>
      </w:r>
    </w:p>
    <w:p>
      <w:pPr>
        <w:pStyle w:val="FirstParagraph"/>
      </w:pPr>
      <w:r>
        <w:t xml:space="preserve">Пакет GPSS(General Purpose Simulation System — система моделирования общего назначения) предназначен для имитационного моделирования дискретных систем.</w:t>
      </w:r>
    </w:p>
    <w:p>
      <w:pPr>
        <w:pStyle w:val="BodyText"/>
      </w:pPr>
      <w:r>
        <w:rPr>
          <w:b/>
          <w:bCs/>
        </w:rPr>
        <w:t xml:space="preserve">Имитационная модель в GPSS</w:t>
      </w:r>
      <w:r>
        <w:t xml:space="preserve"> </w:t>
      </w:r>
      <w:r>
        <w:t xml:space="preserve">представляет собой последовательность текстовых строк, каждая из которых определяет правила создания, перемещения, задержки и удаления транзактов.</w:t>
      </w:r>
    </w:p>
    <w:p>
      <w:pPr>
        <w:pStyle w:val="BodyText"/>
      </w:pPr>
      <w:r>
        <w:rPr>
          <w:b/>
          <w:bCs/>
        </w:rPr>
        <w:t xml:space="preserve">Транзакт</w:t>
      </w:r>
      <w:r>
        <w:t xml:space="preserve"> </w:t>
      </w:r>
      <w:r>
        <w:t xml:space="preserve">— динамический объект, отождествляемый с заявкой на обслуживание, который перемещается между элементами системы.</w:t>
      </w:r>
    </w:p>
    <w:bookmarkStart w:id="22" w:name="типы-объектов-в-gpss"/>
    <w:p>
      <w:pPr>
        <w:pStyle w:val="Heading3"/>
      </w:pPr>
      <w:r>
        <w:rPr>
          <w:rStyle w:val="SectionNumber"/>
        </w:rPr>
        <w:t xml:space="preserve">3.0.1</w:t>
      </w:r>
      <w:r>
        <w:tab/>
      </w:r>
      <w:r>
        <w:rPr>
          <w:b/>
          <w:bCs/>
        </w:rPr>
        <w:t xml:space="preserve">Типы объектов в GPSS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Транзакты</w:t>
      </w:r>
      <w:r>
        <w:t xml:space="preserve">: Динамические элементы, такие как заявки, пакеты, требования на обслуживание.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Блоки</w:t>
      </w:r>
      <w:r>
        <w:t xml:space="preserve">: Определяют логику функционирования имитационной модели и пути движения транзактов.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Одноканальные устройства (Facility)</w:t>
      </w:r>
      <w:r>
        <w:t xml:space="preserve">: Могут обрабатывать только один транзакт в любой момент времени.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Многоканальные устройства (Storage)</w:t>
      </w:r>
      <w:r>
        <w:t xml:space="preserve">: Могут использоваться несколькими транзактами одновременно.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Логические ключи</w:t>
      </w:r>
      <w:r>
        <w:t xml:space="preserve">: Используются для блокировки или изменения направления движения транзактов в зависимости от событий.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Арифметические и логические переменные</w:t>
      </w:r>
      <w:r>
        <w:t xml:space="preserve">: Используются для вычислений и проверки условий.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Очереди</w:t>
      </w:r>
      <w:r>
        <w:t xml:space="preserve">: Сбор статистики о времени задержки транзактов из-за недоступности или занятости устройств.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Таблицы и ячейки</w:t>
      </w:r>
      <w:r>
        <w:t xml:space="preserve">: Хранение статистической информации и числовых данных.</w:t>
      </w:r>
    </w:p>
    <w:bookmarkEnd w:id="22"/>
    <w:bookmarkEnd w:id="23"/>
    <w:bookmarkStart w:id="63" w:name="выполнение-лабораторной-работ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Выполнение лабораторной работы</w:t>
      </w:r>
    </w:p>
    <w:bookmarkStart w:id="36" w:name="построение-моделей"/>
    <w:p>
      <w:pPr>
        <w:pStyle w:val="Heading2"/>
      </w:pPr>
      <w:r>
        <w:rPr>
          <w:rStyle w:val="SectionNumber"/>
        </w:rPr>
        <w:t xml:space="preserve">4.1</w:t>
      </w:r>
      <w:r>
        <w:tab/>
      </w:r>
      <w:r>
        <w:t xml:space="preserve">Построение моделей</w:t>
      </w:r>
    </w:p>
    <w:p>
      <w:pPr>
        <w:pStyle w:val="FirstParagraph"/>
      </w:pPr>
      <w:r>
        <w:t xml:space="preserve">В качестве критериев, используемых для сравнения стратегий обслуживания</w:t>
      </w:r>
      <w:r>
        <w:t xml:space="preserve"> </w:t>
      </w:r>
      <w:r>
        <w:t xml:space="preserve">автомобилей, выберем:</w:t>
      </w:r>
    </w:p>
    <w:p>
      <w:pPr>
        <w:pStyle w:val="Compact"/>
        <w:numPr>
          <w:ilvl w:val="0"/>
          <w:numId w:val="1004"/>
        </w:numPr>
      </w:pPr>
      <w:r>
        <w:t xml:space="preserve">коэффициенты загрузки системы;</w:t>
      </w:r>
    </w:p>
    <w:p>
      <w:pPr>
        <w:pStyle w:val="Compact"/>
        <w:numPr>
          <w:ilvl w:val="0"/>
          <w:numId w:val="1004"/>
        </w:numPr>
      </w:pPr>
      <w:r>
        <w:t xml:space="preserve">максимальные и средние длины очередей;</w:t>
      </w:r>
    </w:p>
    <w:p>
      <w:pPr>
        <w:pStyle w:val="Compact"/>
        <w:numPr>
          <w:ilvl w:val="0"/>
          <w:numId w:val="1004"/>
        </w:numPr>
      </w:pPr>
      <w:r>
        <w:t xml:space="preserve">средние значения времени ожидания обслуживания.</w:t>
      </w:r>
    </w:p>
    <w:p>
      <w:pPr>
        <w:pStyle w:val="FirstParagraph"/>
      </w:pPr>
      <w:r>
        <w:t xml:space="preserve">Для первой стратегии обслуживания, когда прибывающие автомобили образуют</w:t>
      </w:r>
      <w:r>
        <w:t xml:space="preserve"> </w:t>
      </w:r>
      <w:r>
        <w:t xml:space="preserve">две очереди и обслуживаются соответствующими пропускными пунктами, имеем</w:t>
      </w:r>
      <w:r>
        <w:t xml:space="preserve"> </w:t>
      </w:r>
      <w:r>
        <w:t xml:space="preserve">следующую модель (рис. 1).</w:t>
      </w:r>
    </w:p>
    <w:p>
      <w:pPr>
        <w:pStyle w:val="CaptionedFigure"/>
      </w:pPr>
      <w:r>
        <w:drawing>
          <wp:inline>
            <wp:extent cx="3733800" cy="2887472"/>
            <wp:effectExtent b="0" l="0" r="0" t="0"/>
            <wp:docPr descr="Построение модели первой стратегии с двумя пунктами" title="" id="25" name="Picture"/>
            <a:graphic>
              <a:graphicData uri="http://schemas.openxmlformats.org/drawingml/2006/picture">
                <pic:pic>
                  <pic:nvPicPr>
                    <pic:cNvPr descr="image/1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874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Построение модели первой стратегии с двумя пунктами</w:t>
      </w:r>
    </w:p>
    <w:p>
      <w:pPr>
        <w:pStyle w:val="BodyText"/>
      </w:pPr>
      <w:r>
        <w:t xml:space="preserve">Запустим симуляцию и посмотрим отчет (рис. 2).</w:t>
      </w:r>
    </w:p>
    <w:p>
      <w:pPr>
        <w:pStyle w:val="CaptionedFigure"/>
      </w:pPr>
      <w:r>
        <w:drawing>
          <wp:inline>
            <wp:extent cx="3733800" cy="2772681"/>
            <wp:effectExtent b="0" l="0" r="0" t="0"/>
            <wp:docPr descr="Отчет 1. Первая стратегия, два пункта" title="" id="28" name="Picture"/>
            <a:graphic>
              <a:graphicData uri="http://schemas.openxmlformats.org/drawingml/2006/picture">
                <pic:pic>
                  <pic:nvPicPr>
                    <pic:cNvPr descr="image/3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726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Отчет 1. Первая стратегия, два пункта</w:t>
      </w:r>
    </w:p>
    <w:p>
      <w:pPr>
        <w:pStyle w:val="BodyText"/>
      </w:pPr>
      <w:r>
        <w:t xml:space="preserve">Для второй стратегии обслуживания, когда прибывающие автомобили образуют одну очередь и обслуживаются соответствующими пропускными пунктами, имеем следующую модель (рис. 3).</w:t>
      </w:r>
    </w:p>
    <w:p>
      <w:pPr>
        <w:pStyle w:val="CaptionedFigure"/>
      </w:pPr>
      <w:r>
        <w:drawing>
          <wp:inline>
            <wp:extent cx="3733800" cy="1922040"/>
            <wp:effectExtent b="0" l="0" r="0" t="0"/>
            <wp:docPr descr="Построение модели второй стратегии с двумя пунктами" title="" id="31" name="Picture"/>
            <a:graphic>
              <a:graphicData uri="http://schemas.openxmlformats.org/drawingml/2006/picture">
                <pic:pic>
                  <pic:nvPicPr>
                    <pic:cNvPr descr="image/5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220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Построение модели второй стратегии с двумя пунктами</w:t>
      </w:r>
    </w:p>
    <w:p>
      <w:pPr>
        <w:pStyle w:val="BodyText"/>
      </w:pPr>
      <w:r>
        <w:t xml:space="preserve">Запустим симуляцию и посмотрим отчет (рис. 4).</w:t>
      </w:r>
    </w:p>
    <w:p>
      <w:pPr>
        <w:pStyle w:val="CaptionedFigure"/>
      </w:pPr>
      <w:r>
        <w:drawing>
          <wp:inline>
            <wp:extent cx="3733800" cy="2938747"/>
            <wp:effectExtent b="0" l="0" r="0" t="0"/>
            <wp:docPr descr="Отчет 2. Вторая стратегия, два пункта" title="" id="34" name="Picture"/>
            <a:graphic>
              <a:graphicData uri="http://schemas.openxmlformats.org/drawingml/2006/picture">
                <pic:pic>
                  <pic:nvPicPr>
                    <pic:cNvPr descr="image/7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387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Отчет 2. Вторая стратегия, два пункта</w:t>
      </w:r>
    </w:p>
    <w:p>
      <w:pPr>
        <w:pStyle w:val="BodyText"/>
      </w:pPr>
      <w:r>
        <w:t xml:space="preserve">Составим таблицу по полученной статистике (табл.</w:t>
      </w:r>
      <w:r>
        <w:t xml:space="preserve"> </w:t>
      </w:r>
      <w:r>
        <w:rPr>
          <w:b/>
          <w:bCs/>
        </w:rPr>
        <w:t xml:space="preserve">¿tbl:sr?</w:t>
      </w:r>
      <w:r>
        <w:t xml:space="preserve">).</w:t>
      </w:r>
    </w:p>
    <w:p>
      <w:pPr>
        <w:pStyle w:val="TableCaption"/>
      </w:pPr>
      <w:r>
        <w:t xml:space="preserve">Сравнение стратегий {#tbl:sr}: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  <w:tblCaption w:val="Сравнение стратегий {#tbl:sr}:"/>
      </w:tblPr>
      <w:tblGrid>
        <w:gridCol w:w="2996"/>
        <w:gridCol w:w="1391"/>
        <w:gridCol w:w="963"/>
        <w:gridCol w:w="1070"/>
        <w:gridCol w:w="149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Показатель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стратегия 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стратегия 2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пункт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пункт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 целом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 целом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Поступило автомобилей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5719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Обслужено автомобилей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5049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Коэффициент загрузки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0,997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0,996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0,9965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Максимальная длина очереди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668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Средняя длина очереди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187,098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187,114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374,212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344,466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Среднее время ожидания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644,107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644,823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644,465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607,138</w:t>
            </w:r>
          </w:p>
        </w:tc>
      </w:tr>
    </w:tbl>
    <w:p>
      <w:pPr>
        <w:pStyle w:val="BodyText"/>
      </w:pPr>
      <w:r>
        <w:t xml:space="preserve">Из таблицы можем сделать вывод, что стратегия 2 является более эффективной, так как позволяет обслужить больше устройств (разнница между обсуженными и не обсулженными меньше, чем у первой стратегии), очередь проходит быстрее (из максимальной длины очереди и среднего времени ожидания), а также коэффициент загрузги говорит о том, что пункты работали без перерыва, что тоже способствовало более эффективной работе.</w:t>
      </w:r>
    </w:p>
    <w:bookmarkEnd w:id="36"/>
    <w:bookmarkStart w:id="62" w:name="выполнение-задания"/>
    <w:p>
      <w:pPr>
        <w:pStyle w:val="Heading2"/>
      </w:pPr>
      <w:r>
        <w:rPr>
          <w:rStyle w:val="SectionNumber"/>
        </w:rPr>
        <w:t xml:space="preserve">4.2</w:t>
      </w:r>
      <w:r>
        <w:tab/>
      </w:r>
      <w:r>
        <w:t xml:space="preserve">Выполнение задания</w:t>
      </w:r>
    </w:p>
    <w:p>
      <w:pPr>
        <w:pStyle w:val="FirstParagraph"/>
      </w:pPr>
      <w:r>
        <w:t xml:space="preserve">Теперь построим модели так, чтобы найти оптимальное количество пунктов (1-4) для каждой стратегии, при этом:</w:t>
      </w:r>
    </w:p>
    <w:p>
      <w:pPr>
        <w:pStyle w:val="Compact"/>
        <w:numPr>
          <w:ilvl w:val="0"/>
          <w:numId w:val="1005"/>
        </w:numPr>
      </w:pPr>
      <w:r>
        <w:t xml:space="preserve">коэффициент загрузки пропускных пунктов принадлежит интервалу [0, 5; 0, 95];</w:t>
      </w:r>
    </w:p>
    <w:p>
      <w:pPr>
        <w:pStyle w:val="Compact"/>
        <w:numPr>
          <w:ilvl w:val="0"/>
          <w:numId w:val="1005"/>
        </w:numPr>
      </w:pPr>
      <w:r>
        <w:t xml:space="preserve">среднее число автомобилей, одновременно находящихся на контрольно пропускном пункте, не должно превышать 3;</w:t>
      </w:r>
    </w:p>
    <w:p>
      <w:pPr>
        <w:pStyle w:val="Compact"/>
        <w:numPr>
          <w:ilvl w:val="0"/>
          <w:numId w:val="1005"/>
        </w:numPr>
      </w:pPr>
      <w:r>
        <w:t xml:space="preserve">среднее время ожидания обслуживания не должно превышать 4 мин.</w:t>
      </w:r>
    </w:p>
    <w:bookmarkStart w:id="52" w:name="построение-моделей-для-первой-стратегии"/>
    <w:p>
      <w:pPr>
        <w:pStyle w:val="Heading3"/>
      </w:pPr>
      <w:r>
        <w:rPr>
          <w:rStyle w:val="SectionNumber"/>
        </w:rPr>
        <w:t xml:space="preserve">4.2.1</w:t>
      </w:r>
      <w:r>
        <w:tab/>
      </w:r>
      <w:r>
        <w:t xml:space="preserve">Построение моделей для первой стратегии</w:t>
      </w:r>
    </w:p>
    <w:p>
      <w:pPr>
        <w:pStyle w:val="FirstParagraph"/>
      </w:pPr>
      <w:r>
        <w:t xml:space="preserve">Изменим модель так, чтобы устройства обслуживались тремя пунктами (рис. 5).</w:t>
      </w:r>
    </w:p>
    <w:p>
      <w:pPr>
        <w:pStyle w:val="CaptionedFigure"/>
      </w:pPr>
      <w:r>
        <w:drawing>
          <wp:inline>
            <wp:extent cx="3733800" cy="3942031"/>
            <wp:effectExtent b="0" l="0" r="0" t="0"/>
            <wp:docPr descr="Построение модели первой стратегии с тремя пунктами" title="" id="38" name="Picture"/>
            <a:graphic>
              <a:graphicData uri="http://schemas.openxmlformats.org/drawingml/2006/picture">
                <pic:pic>
                  <pic:nvPicPr>
                    <pic:cNvPr descr="image/6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9420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Построение модели первой стратегии с тремя пунктами</w:t>
      </w:r>
    </w:p>
    <w:p>
      <w:pPr>
        <w:pStyle w:val="BodyText"/>
      </w:pPr>
      <w:r>
        <w:t xml:space="preserve">Запустим симуляцию и посмотрим отчет (рис. 6).</w:t>
      </w:r>
    </w:p>
    <w:p>
      <w:pPr>
        <w:pStyle w:val="CaptionedFigure"/>
      </w:pPr>
      <w:r>
        <w:drawing>
          <wp:inline>
            <wp:extent cx="3733800" cy="2985906"/>
            <wp:effectExtent b="0" l="0" r="0" t="0"/>
            <wp:docPr descr="Отчет 3. Первая стратегия, 3 пункта" title="" id="41" name="Picture"/>
            <a:graphic>
              <a:graphicData uri="http://schemas.openxmlformats.org/drawingml/2006/picture">
                <pic:pic>
                  <pic:nvPicPr>
                    <pic:cNvPr descr="image/4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859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Отчет 3. Первая стратегия, 3 пункта</w:t>
      </w:r>
    </w:p>
    <w:p>
      <w:pPr>
        <w:pStyle w:val="BodyText"/>
      </w:pPr>
      <w:r>
        <w:t xml:space="preserve">В результате мы видим, что:</w:t>
      </w:r>
    </w:p>
    <w:p>
      <w:pPr>
        <w:pStyle w:val="Compact"/>
        <w:numPr>
          <w:ilvl w:val="0"/>
          <w:numId w:val="1006"/>
        </w:numPr>
      </w:pPr>
      <w:r>
        <w:t xml:space="preserve">коэффициент загрузки пропускных пунктов действительно принадлежит интервалу [0, 5; 0, 95];</w:t>
      </w:r>
    </w:p>
    <w:p>
      <w:pPr>
        <w:pStyle w:val="Compact"/>
        <w:numPr>
          <w:ilvl w:val="0"/>
          <w:numId w:val="1006"/>
        </w:numPr>
      </w:pPr>
      <w:r>
        <w:t xml:space="preserve">среднее число автомобилей, одновременно находящихся на контрольно пропускном пункте, не превышает 3;</w:t>
      </w:r>
    </w:p>
    <w:p>
      <w:pPr>
        <w:pStyle w:val="Compact"/>
        <w:numPr>
          <w:ilvl w:val="0"/>
          <w:numId w:val="1006"/>
        </w:numPr>
      </w:pPr>
      <w:r>
        <w:t xml:space="preserve">среднее время ожидания обслуживания</w:t>
      </w:r>
      <w:r>
        <w:t xml:space="preserve"> </w:t>
      </w:r>
      <w:r>
        <w:rPr>
          <w:b/>
          <w:bCs/>
        </w:rPr>
        <w:t xml:space="preserve">больше</w:t>
      </w:r>
      <w:r>
        <w:t xml:space="preserve"> </w:t>
      </w:r>
      <w:r>
        <w:t xml:space="preserve">4 мин.</w:t>
      </w:r>
    </w:p>
    <w:p>
      <w:pPr>
        <w:pStyle w:val="FirstParagraph"/>
      </w:pPr>
      <w:r>
        <w:t xml:space="preserve">Изменим модель так, чтобы устройства обслуживались четырьмя пунктами (рис. 7), (рис. 8)</w:t>
      </w:r>
    </w:p>
    <w:p>
      <w:pPr>
        <w:pStyle w:val="CaptionedFigure"/>
      </w:pPr>
      <w:r>
        <w:drawing>
          <wp:inline>
            <wp:extent cx="3733800" cy="3577539"/>
            <wp:effectExtent b="0" l="0" r="0" t="0"/>
            <wp:docPr descr="Построение модели первой стратегии с четырьмя пунктами /1" title="" id="44" name="Picture"/>
            <a:graphic>
              <a:graphicData uri="http://schemas.openxmlformats.org/drawingml/2006/picture">
                <pic:pic>
                  <pic:nvPicPr>
                    <pic:cNvPr descr="image/11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5775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Построение модели первой стратегии с четырьмя пунктами /1</w:t>
      </w:r>
    </w:p>
    <w:p>
      <w:pPr>
        <w:pStyle w:val="CaptionedFigure"/>
      </w:pPr>
      <w:r>
        <w:drawing>
          <wp:inline>
            <wp:extent cx="3465094" cy="3724976"/>
            <wp:effectExtent b="0" l="0" r="0" t="0"/>
            <wp:docPr descr="Построение модели первой стратегии с четырьмя пунктами /2" title="" id="47" name="Picture"/>
            <a:graphic>
              <a:graphicData uri="http://schemas.openxmlformats.org/drawingml/2006/picture">
                <pic:pic>
                  <pic:nvPicPr>
                    <pic:cNvPr descr="image/10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5094" cy="37249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Построение модели первой стратегии с четырьмя пунктами /2</w:t>
      </w:r>
    </w:p>
    <w:p>
      <w:pPr>
        <w:pStyle w:val="BodyText"/>
      </w:pPr>
      <w:r>
        <w:t xml:space="preserve">Запустим симуляцию и посмотрим отчет (рис. 9).</w:t>
      </w:r>
    </w:p>
    <w:p>
      <w:pPr>
        <w:pStyle w:val="CaptionedFigure"/>
      </w:pPr>
      <w:r>
        <w:drawing>
          <wp:inline>
            <wp:extent cx="3733800" cy="2215350"/>
            <wp:effectExtent b="0" l="0" r="0" t="0"/>
            <wp:docPr descr="Отчет 4. Первая стратегия, 4 пункта" title="" id="50" name="Picture"/>
            <a:graphic>
              <a:graphicData uri="http://schemas.openxmlformats.org/drawingml/2006/picture">
                <pic:pic>
                  <pic:nvPicPr>
                    <pic:cNvPr descr="image/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15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Отчет 4. Первая стратегия, 4 пункта</w:t>
      </w:r>
    </w:p>
    <w:p>
      <w:pPr>
        <w:pStyle w:val="BodyText"/>
      </w:pPr>
      <w:r>
        <w:t xml:space="preserve">В результате мы видим, что:</w:t>
      </w:r>
    </w:p>
    <w:p>
      <w:pPr>
        <w:pStyle w:val="Compact"/>
        <w:numPr>
          <w:ilvl w:val="0"/>
          <w:numId w:val="1007"/>
        </w:numPr>
      </w:pPr>
      <w:r>
        <w:t xml:space="preserve">коэффициент загрузки пропускных пунктов действительно принадлежит интервалу [0, 5; 0, 95];</w:t>
      </w:r>
    </w:p>
    <w:p>
      <w:pPr>
        <w:pStyle w:val="Compact"/>
        <w:numPr>
          <w:ilvl w:val="0"/>
          <w:numId w:val="1007"/>
        </w:numPr>
      </w:pPr>
      <w:r>
        <w:t xml:space="preserve">среднее число автомобилей, одновременно находящихся на контрольно пропускном пункте, не превышает 3;</w:t>
      </w:r>
    </w:p>
    <w:p>
      <w:pPr>
        <w:pStyle w:val="Compact"/>
        <w:numPr>
          <w:ilvl w:val="0"/>
          <w:numId w:val="1007"/>
        </w:numPr>
      </w:pPr>
      <w:r>
        <w:t xml:space="preserve">среднее время ожидания обслуживания меньше 4 мин.</w:t>
      </w:r>
    </w:p>
    <w:bookmarkEnd w:id="52"/>
    <w:bookmarkStart w:id="53" w:name="вывод-по-первой-стратегии"/>
    <w:p>
      <w:pPr>
        <w:pStyle w:val="Heading3"/>
      </w:pPr>
      <w:r>
        <w:rPr>
          <w:rStyle w:val="SectionNumber"/>
        </w:rPr>
        <w:t xml:space="preserve">4.2.2</w:t>
      </w:r>
      <w:r>
        <w:tab/>
      </w:r>
      <w:r>
        <w:t xml:space="preserve">Вывод по первой стратегии</w:t>
      </w:r>
    </w:p>
    <w:p>
      <w:pPr>
        <w:pStyle w:val="FirstParagraph"/>
      </w:pPr>
      <w:r>
        <w:t xml:space="preserve">Модель с четырьмя пунктами является оптимальной для первой стратегии.</w:t>
      </w:r>
    </w:p>
    <w:bookmarkEnd w:id="53"/>
    <w:bookmarkStart w:id="60" w:name="построение-моделей-для-второй-стратегии"/>
    <w:p>
      <w:pPr>
        <w:pStyle w:val="Heading3"/>
      </w:pPr>
      <w:r>
        <w:rPr>
          <w:rStyle w:val="SectionNumber"/>
        </w:rPr>
        <w:t xml:space="preserve">4.2.3</w:t>
      </w:r>
      <w:r>
        <w:tab/>
      </w:r>
      <w:r>
        <w:t xml:space="preserve">Построение моделей для второй стратегии</w:t>
      </w:r>
    </w:p>
    <w:p>
      <w:pPr>
        <w:pStyle w:val="FirstParagraph"/>
      </w:pPr>
      <w:r>
        <w:t xml:space="preserve">Изменим модель так, чтобы устройства обслуживались тремя пунктами (рис. 10).</w:t>
      </w:r>
    </w:p>
    <w:p>
      <w:pPr>
        <w:pStyle w:val="CaptionedFigure"/>
      </w:pPr>
      <w:r>
        <w:drawing>
          <wp:inline>
            <wp:extent cx="3733800" cy="1882788"/>
            <wp:effectExtent b="0" l="0" r="0" t="0"/>
            <wp:docPr descr="Построение модели второй стратегии с тремя пунктами" title="" id="55" name="Picture"/>
            <a:graphic>
              <a:graphicData uri="http://schemas.openxmlformats.org/drawingml/2006/picture">
                <pic:pic>
                  <pic:nvPicPr>
                    <pic:cNvPr descr="image/2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827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Построение модели второй стратегии с тремя пунктами</w:t>
      </w:r>
    </w:p>
    <w:p>
      <w:pPr>
        <w:pStyle w:val="BodyText"/>
      </w:pPr>
      <w:r>
        <w:t xml:space="preserve">Запустим симуляцию и посмотрим отчет (рис. 11).</w:t>
      </w:r>
    </w:p>
    <w:p>
      <w:pPr>
        <w:pStyle w:val="CaptionedFigure"/>
      </w:pPr>
      <w:r>
        <w:drawing>
          <wp:inline>
            <wp:extent cx="3733800" cy="2699399"/>
            <wp:effectExtent b="0" l="0" r="0" t="0"/>
            <wp:docPr descr="Отчет 5. Вторая стратегия, 3 пункта" title="" id="58" name="Picture"/>
            <a:graphic>
              <a:graphicData uri="http://schemas.openxmlformats.org/drawingml/2006/picture">
                <pic:pic>
                  <pic:nvPicPr>
                    <pic:cNvPr descr="image/9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993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Отчет 5. Вторая стратегия, 3 пункта</w:t>
      </w:r>
    </w:p>
    <w:p>
      <w:pPr>
        <w:pStyle w:val="BodyText"/>
      </w:pPr>
      <w:r>
        <w:t xml:space="preserve">В результате мы видим, что:</w:t>
      </w:r>
    </w:p>
    <w:p>
      <w:pPr>
        <w:pStyle w:val="Compact"/>
        <w:numPr>
          <w:ilvl w:val="0"/>
          <w:numId w:val="1008"/>
        </w:numPr>
      </w:pPr>
      <w:r>
        <w:t xml:space="preserve">коэффициент загрузки пропускных пунктов действительно принадлежит интервалу [0, 5; 0, 95];</w:t>
      </w:r>
    </w:p>
    <w:p>
      <w:pPr>
        <w:pStyle w:val="Compact"/>
        <w:numPr>
          <w:ilvl w:val="0"/>
          <w:numId w:val="1008"/>
        </w:numPr>
      </w:pPr>
      <w:r>
        <w:t xml:space="preserve">среднее число автомобилей, одновременно находящихся на контрольно пропускном пункте, не превышает 3;</w:t>
      </w:r>
    </w:p>
    <w:p>
      <w:pPr>
        <w:pStyle w:val="Compact"/>
        <w:numPr>
          <w:ilvl w:val="0"/>
          <w:numId w:val="1008"/>
        </w:numPr>
      </w:pPr>
      <w:r>
        <w:t xml:space="preserve">среднее время ожидания обслуживания не больше 4 мин.</w:t>
      </w:r>
    </w:p>
    <w:bookmarkEnd w:id="60"/>
    <w:bookmarkStart w:id="61" w:name="вывод-по-первой-стратегии-1"/>
    <w:p>
      <w:pPr>
        <w:pStyle w:val="Heading3"/>
      </w:pPr>
      <w:r>
        <w:rPr>
          <w:rStyle w:val="SectionNumber"/>
        </w:rPr>
        <w:t xml:space="preserve">4.2.4</w:t>
      </w:r>
      <w:r>
        <w:tab/>
      </w:r>
      <w:r>
        <w:t xml:space="preserve">Вывод по первой стратегии</w:t>
      </w:r>
    </w:p>
    <w:p>
      <w:pPr>
        <w:pStyle w:val="FirstParagraph"/>
      </w:pPr>
      <w:r>
        <w:t xml:space="preserve">Модель с тремя и четырьмя пунктами является оптимальной для первой стратегии.</w:t>
      </w:r>
    </w:p>
    <w:bookmarkEnd w:id="61"/>
    <w:bookmarkEnd w:id="62"/>
    <w:bookmarkEnd w:id="63"/>
    <w:bookmarkStart w:id="64" w:name="вывод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результате работы я составила две модели с разными стратегиями при помощи GPSS, а также оптимизировала.</w:t>
      </w:r>
    </w:p>
    <w:bookmarkEnd w:id="64"/>
    <w:bookmarkStart w:id="66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09"/>
        </w:numPr>
      </w:pPr>
      <w:hyperlink r:id="rId65">
        <w:r>
          <w:rPr>
            <w:rStyle w:val="Hyperlink"/>
          </w:rPr>
          <w:t xml:space="preserve">Л.16. Задачи оптимизации. Модель двух стратегий обслуживания</w:t>
        </w:r>
      </w:hyperlink>
    </w:p>
    <w:p>
      <w:pPr>
        <w:pStyle w:val="FirstParagraph"/>
      </w:pPr>
      <w:r>
        <w:t xml:space="preserve">:::</w:t>
      </w:r>
      <w:r>
        <w:t xml:space="preserve"> </w:t>
      </w:r>
      <w:r>
        <w:t xml:space="preserve">:::</w:t>
      </w:r>
    </w:p>
    <w:bookmarkEnd w:id="6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480"/>
      </w:pPr>
    </w:lvl>
    <w:lvl w:ilvl="1">
      <w:start w:val="1"/>
      <w:numFmt w:val="decimal"/>
      <w:lvlText w:val="%2)"/>
      <w:lvlJc w:val="left"/>
      <w:pPr>
        <w:ind w:left="1440" w:hanging="480"/>
      </w:pPr>
    </w:lvl>
    <w:lvl w:ilvl="2">
      <w:start w:val="1"/>
      <w:numFmt w:val="decimal"/>
      <w:lvlText w:val="%3)"/>
      <w:lvlJc w:val="left"/>
      <w:pPr>
        <w:ind w:left="2160" w:hanging="480"/>
      </w:pPr>
    </w:lvl>
    <w:lvl w:ilvl="3">
      <w:start w:val="1"/>
      <w:numFmt w:val="decimal"/>
      <w:lvlText w:val="%4)"/>
      <w:lvlJc w:val="left"/>
      <w:pPr>
        <w:ind w:left="2880" w:hanging="480"/>
      </w:pPr>
    </w:lvl>
    <w:lvl w:ilvl="4">
      <w:start w:val="1"/>
      <w:numFmt w:val="decimal"/>
      <w:lvlText w:val="%5)"/>
      <w:lvlJc w:val="left"/>
      <w:pPr>
        <w:ind w:left="3600" w:hanging="480"/>
      </w:pPr>
    </w:lvl>
    <w:lvl w:ilvl="5">
      <w:start w:val="1"/>
      <w:numFmt w:val="decimal"/>
      <w:lvlText w:val="%6)"/>
      <w:lvlJc w:val="left"/>
      <w:pPr>
        <w:ind w:left="4320" w:hanging="480"/>
      </w:pPr>
    </w:lvl>
    <w:lvl w:ilvl="6">
      <w:start w:val="1"/>
      <w:numFmt w:val="decimal"/>
      <w:lvlText w:val="%7)"/>
      <w:lvlJc w:val="left"/>
      <w:pPr>
        <w:ind w:left="5040" w:hanging="480"/>
      </w:pPr>
    </w:lvl>
    <w:lvl w:ilvl="7">
      <w:start w:val="1"/>
      <w:numFmt w:val="decimal"/>
      <w:lvlText w:val="%8)"/>
      <w:lvlJc w:val="left"/>
      <w:pPr>
        <w:ind w:left="5760" w:hanging="480"/>
      </w:pPr>
    </w:lvl>
    <w:lvl w:ilvl="8">
      <w:start w:val="1"/>
      <w:numFmt w:val="decimal"/>
      <w:lvlText w:val="%9)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png" /><Relationship Type="http://schemas.openxmlformats.org/officeDocument/2006/relationships/image" Id="rId46" Target="media/rId46.png" /><Relationship Type="http://schemas.openxmlformats.org/officeDocument/2006/relationships/image" Id="rId43" Target="media/rId43.png" /><Relationship Type="http://schemas.openxmlformats.org/officeDocument/2006/relationships/image" Id="rId54" Target="media/rId54.png" /><Relationship Type="http://schemas.openxmlformats.org/officeDocument/2006/relationships/image" Id="rId27" Target="media/rId27.png" /><Relationship Type="http://schemas.openxmlformats.org/officeDocument/2006/relationships/image" Id="rId40" Target="media/rId40.png" /><Relationship Type="http://schemas.openxmlformats.org/officeDocument/2006/relationships/image" Id="rId30" Target="media/rId30.png" /><Relationship Type="http://schemas.openxmlformats.org/officeDocument/2006/relationships/image" Id="rId37" Target="media/rId37.png" /><Relationship Type="http://schemas.openxmlformats.org/officeDocument/2006/relationships/image" Id="rId33" Target="media/rId33.png" /><Relationship Type="http://schemas.openxmlformats.org/officeDocument/2006/relationships/image" Id="rId49" Target="media/rId49.png" /><Relationship Type="http://schemas.openxmlformats.org/officeDocument/2006/relationships/image" Id="rId57" Target="media/rId57.png" /><Relationship Type="http://schemas.openxmlformats.org/officeDocument/2006/relationships/hyperlink" Id="rId65" Target="https://esystem.rudn.ru/mod/resource/view.php?id=1223387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5" Target="https://esystem.rudn.ru/mod/resource/view.php?id=1223387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№16</dc:title>
  <dc:creator>Александрова Ульяна Вадимовна</dc:creator>
  <dc:language>ru-RU</dc:language>
  <cp:keywords/>
  <dcterms:created xsi:type="dcterms:W3CDTF">2025-04-27T17:45:17Z</dcterms:created>
  <dcterms:modified xsi:type="dcterms:W3CDTF">2025-04-27T17:45:17Z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False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Имитационное моделирование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