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13D25" w14:textId="59D61CEC" w:rsidR="005E7A5F" w:rsidRPr="00073595" w:rsidRDefault="005E7A5F" w:rsidP="00073595">
      <w:pPr>
        <w:pStyle w:val="ListParagraph"/>
        <w:numPr>
          <w:ilvl w:val="0"/>
          <w:numId w:val="1"/>
        </w:numPr>
        <w:rPr>
          <w:lang w:val="ru-RU"/>
        </w:rPr>
      </w:pPr>
      <w:r w:rsidRPr="00073595">
        <w:rPr>
          <w:lang w:val="ru-RU"/>
        </w:rPr>
        <w:t xml:space="preserve">Сделаем разбиение по группам на основе </w:t>
      </w:r>
      <w:r w:rsidRPr="00073595">
        <w:rPr>
          <w:lang w:val="en-US"/>
        </w:rPr>
        <w:t>RFM</w:t>
      </w:r>
      <w:r w:rsidRPr="00073595">
        <w:rPr>
          <w:lang w:val="ru-RU"/>
        </w:rPr>
        <w:t xml:space="preserve"> анализа</w:t>
      </w:r>
    </w:p>
    <w:p w14:paraId="3A359EC8" w14:textId="3619271D" w:rsidR="005E7A5F" w:rsidRDefault="005E7A5F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A5F" w14:paraId="74F535EB" w14:textId="77777777" w:rsidTr="005E7A5F">
        <w:tc>
          <w:tcPr>
            <w:tcW w:w="3005" w:type="dxa"/>
          </w:tcPr>
          <w:p w14:paraId="6F1E4E2C" w14:textId="5419AEF1" w:rsidR="005E7A5F" w:rsidRPr="005E7A5F" w:rsidRDefault="005E7A5F">
            <w:pPr>
              <w:rPr>
                <w:lang w:val="en-US"/>
              </w:rPr>
            </w:pPr>
            <w:bookmarkStart w:id="0" w:name="OLE_LINK1"/>
            <w:r>
              <w:rPr>
                <w:lang w:val="en-US"/>
              </w:rPr>
              <w:t>R</w:t>
            </w:r>
          </w:p>
        </w:tc>
        <w:tc>
          <w:tcPr>
            <w:tcW w:w="3005" w:type="dxa"/>
          </w:tcPr>
          <w:p w14:paraId="78A9E903" w14:textId="73FF1CE3" w:rsidR="005E7A5F" w:rsidRPr="005E7A5F" w:rsidRDefault="005E7A5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006" w:type="dxa"/>
          </w:tcPr>
          <w:p w14:paraId="295D222F" w14:textId="72E40F03" w:rsidR="005E7A5F" w:rsidRPr="005E7A5F" w:rsidRDefault="005E7A5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bookmarkEnd w:id="0"/>
      <w:tr w:rsidR="005E7A5F" w14:paraId="4C47911C" w14:textId="77777777" w:rsidTr="005E7A5F">
        <w:tc>
          <w:tcPr>
            <w:tcW w:w="3005" w:type="dxa"/>
          </w:tcPr>
          <w:p w14:paraId="7E227832" w14:textId="54CFAD62" w:rsidR="005E7A5F" w:rsidRPr="005E7A5F" w:rsidRDefault="005E7A5F">
            <w:pPr>
              <w:rPr>
                <w:lang w:val="en-US"/>
              </w:rPr>
            </w:pPr>
            <w:r>
              <w:rPr>
                <w:lang w:val="en-US"/>
              </w:rPr>
              <w:t xml:space="preserve">1 (&lt;3 </w:t>
            </w:r>
            <w:r>
              <w:rPr>
                <w:lang w:val="ru-RU"/>
              </w:rPr>
              <w:t>м</w:t>
            </w:r>
            <w:r>
              <w:rPr>
                <w:lang w:val="en-US"/>
              </w:rPr>
              <w:t>)</w:t>
            </w:r>
          </w:p>
        </w:tc>
        <w:tc>
          <w:tcPr>
            <w:tcW w:w="3005" w:type="dxa"/>
          </w:tcPr>
          <w:p w14:paraId="0B6A11E0" w14:textId="6AA668AC" w:rsidR="005E7A5F" w:rsidRPr="005E7A5F" w:rsidRDefault="005E7A5F">
            <w:pPr>
              <w:rPr>
                <w:lang w:val="en-US"/>
              </w:rPr>
            </w:pPr>
            <w:r>
              <w:rPr>
                <w:lang w:val="en-US"/>
              </w:rPr>
              <w:t xml:space="preserve">1 (1 </w:t>
            </w:r>
            <w:r>
              <w:rPr>
                <w:lang w:val="ru-RU"/>
              </w:rPr>
              <w:t>покупка</w:t>
            </w:r>
            <w:r>
              <w:rPr>
                <w:lang w:val="en-US"/>
              </w:rPr>
              <w:t>)</w:t>
            </w:r>
          </w:p>
        </w:tc>
        <w:tc>
          <w:tcPr>
            <w:tcW w:w="3006" w:type="dxa"/>
          </w:tcPr>
          <w:p w14:paraId="7F3C6DA7" w14:textId="4C1E875F" w:rsidR="005E7A5F" w:rsidRPr="005E7A5F" w:rsidRDefault="005E7A5F">
            <w:pPr>
              <w:rPr>
                <w:lang w:val="en-US"/>
              </w:rPr>
            </w:pPr>
            <w:r>
              <w:rPr>
                <w:lang w:val="en-US"/>
              </w:rPr>
              <w:t>1 (&lt;15000)</w:t>
            </w:r>
          </w:p>
        </w:tc>
      </w:tr>
      <w:tr w:rsidR="005E7A5F" w14:paraId="34E92914" w14:textId="77777777" w:rsidTr="005E7A5F">
        <w:tc>
          <w:tcPr>
            <w:tcW w:w="3005" w:type="dxa"/>
          </w:tcPr>
          <w:p w14:paraId="5CD4AFCA" w14:textId="3E4AD830" w:rsidR="005E7A5F" w:rsidRPr="005E7A5F" w:rsidRDefault="005E7A5F">
            <w:pPr>
              <w:rPr>
                <w:lang w:val="en-US"/>
              </w:rPr>
            </w:pPr>
            <w:r>
              <w:rPr>
                <w:lang w:val="en-US"/>
              </w:rPr>
              <w:t>2 (&gt;3</w:t>
            </w:r>
            <w:r>
              <w:rPr>
                <w:lang w:val="ru-RU"/>
              </w:rPr>
              <w:t xml:space="preserve"> м</w:t>
            </w:r>
            <w:r>
              <w:rPr>
                <w:lang w:val="en-US"/>
              </w:rPr>
              <w:t>)</w:t>
            </w:r>
          </w:p>
        </w:tc>
        <w:tc>
          <w:tcPr>
            <w:tcW w:w="3005" w:type="dxa"/>
          </w:tcPr>
          <w:p w14:paraId="6668ADCD" w14:textId="78F0845A" w:rsidR="005E7A5F" w:rsidRPr="005E7A5F" w:rsidRDefault="005E7A5F">
            <w:pPr>
              <w:rPr>
                <w:lang w:val="en-US"/>
              </w:rPr>
            </w:pPr>
            <w:r>
              <w:rPr>
                <w:lang w:val="en-US"/>
              </w:rPr>
              <w:t xml:space="preserve">2 (2+ </w:t>
            </w:r>
            <w:r>
              <w:rPr>
                <w:lang w:val="ru-RU"/>
              </w:rPr>
              <w:t>покупки</w:t>
            </w:r>
            <w:r>
              <w:rPr>
                <w:lang w:val="en-US"/>
              </w:rPr>
              <w:t>)</w:t>
            </w:r>
          </w:p>
        </w:tc>
        <w:tc>
          <w:tcPr>
            <w:tcW w:w="3006" w:type="dxa"/>
          </w:tcPr>
          <w:p w14:paraId="58E06E02" w14:textId="22BB6CFE" w:rsidR="005E7A5F" w:rsidRDefault="005E7A5F">
            <w:pPr>
              <w:rPr>
                <w:lang w:val="en-US"/>
              </w:rPr>
            </w:pPr>
            <w:r>
              <w:rPr>
                <w:lang w:val="en-US"/>
              </w:rPr>
              <w:t>2 (&gt;15000)</w:t>
            </w:r>
          </w:p>
        </w:tc>
      </w:tr>
    </w:tbl>
    <w:p w14:paraId="7DFE4FCF" w14:textId="0B51060C" w:rsidR="005E7A5F" w:rsidRDefault="005E7A5F">
      <w:pPr>
        <w:rPr>
          <w:lang w:val="ru-RU"/>
        </w:rPr>
      </w:pPr>
    </w:p>
    <w:p w14:paraId="3E61AF8F" w14:textId="247CEDC5" w:rsidR="005E7A5F" w:rsidRDefault="005E7A5F">
      <w:pPr>
        <w:rPr>
          <w:lang w:val="ru-RU"/>
        </w:rPr>
      </w:pPr>
      <w:r>
        <w:rPr>
          <w:lang w:val="ru-RU"/>
        </w:rPr>
        <w:t>Тогда</w:t>
      </w:r>
    </w:p>
    <w:p w14:paraId="67BA53D7" w14:textId="722F3E90" w:rsidR="005E7A5F" w:rsidRDefault="005E7A5F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A5F" w14:paraId="2AC4AB65" w14:textId="77777777" w:rsidTr="00D97E93">
        <w:tc>
          <w:tcPr>
            <w:tcW w:w="9016" w:type="dxa"/>
            <w:gridSpan w:val="3"/>
          </w:tcPr>
          <w:p w14:paraId="4B663323" w14:textId="3CB74E70" w:rsidR="005E7A5F" w:rsidRPr="005E7A5F" w:rsidRDefault="005E7A5F">
            <w:pPr>
              <w:rPr>
                <w:lang w:val="en-US"/>
              </w:rPr>
            </w:pPr>
            <w:r>
              <w:rPr>
                <w:lang w:val="en-US"/>
              </w:rPr>
              <w:t>LOST</w:t>
            </w:r>
          </w:p>
        </w:tc>
      </w:tr>
      <w:tr w:rsidR="005E7A5F" w14:paraId="4711A014" w14:textId="77777777" w:rsidTr="005E7A5F">
        <w:tc>
          <w:tcPr>
            <w:tcW w:w="3005" w:type="dxa"/>
          </w:tcPr>
          <w:p w14:paraId="55F007D3" w14:textId="37727476" w:rsidR="005E7A5F" w:rsidRDefault="005E7A5F" w:rsidP="005E7A5F">
            <w:pPr>
              <w:rPr>
                <w:lang w:val="ru-RU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005" w:type="dxa"/>
          </w:tcPr>
          <w:p w14:paraId="74690417" w14:textId="3CEAA9EF" w:rsidR="005E7A5F" w:rsidRDefault="005E7A5F" w:rsidP="005E7A5F">
            <w:pPr>
              <w:rPr>
                <w:lang w:val="ru-RU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006" w:type="dxa"/>
          </w:tcPr>
          <w:p w14:paraId="7BCEC968" w14:textId="11861237" w:rsidR="005E7A5F" w:rsidRDefault="005E7A5F" w:rsidP="005E7A5F">
            <w:pPr>
              <w:rPr>
                <w:lang w:val="ru-RU"/>
              </w:rPr>
            </w:pPr>
            <w:r>
              <w:rPr>
                <w:lang w:val="en-US"/>
              </w:rPr>
              <w:t>M</w:t>
            </w:r>
          </w:p>
        </w:tc>
      </w:tr>
      <w:tr w:rsidR="005E7A5F" w14:paraId="2FD9E3D0" w14:textId="77777777" w:rsidTr="005E7A5F">
        <w:tc>
          <w:tcPr>
            <w:tcW w:w="3005" w:type="dxa"/>
          </w:tcPr>
          <w:p w14:paraId="7AB11908" w14:textId="01EBA40E" w:rsidR="005E7A5F" w:rsidRDefault="005E7A5F" w:rsidP="005E7A5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771A3034" w14:textId="1356CE41" w:rsidR="005E7A5F" w:rsidRDefault="005E7A5F" w:rsidP="005E7A5F">
            <w:pPr>
              <w:rPr>
                <w:lang w:val="en-US"/>
              </w:rPr>
            </w:pPr>
            <w:r>
              <w:rPr>
                <w:lang w:val="en-US"/>
              </w:rPr>
              <w:t>1-2</w:t>
            </w:r>
          </w:p>
        </w:tc>
        <w:tc>
          <w:tcPr>
            <w:tcW w:w="3006" w:type="dxa"/>
          </w:tcPr>
          <w:p w14:paraId="42B83519" w14:textId="4B2525B0" w:rsidR="005E7A5F" w:rsidRDefault="005E7A5F" w:rsidP="005E7A5F">
            <w:pPr>
              <w:rPr>
                <w:lang w:val="en-US"/>
              </w:rPr>
            </w:pPr>
            <w:r>
              <w:rPr>
                <w:lang w:val="en-US"/>
              </w:rPr>
              <w:t>1-2</w:t>
            </w:r>
          </w:p>
        </w:tc>
      </w:tr>
      <w:tr w:rsidR="005E7A5F" w14:paraId="77240B9D" w14:textId="77777777" w:rsidTr="00C03E07">
        <w:tc>
          <w:tcPr>
            <w:tcW w:w="9016" w:type="dxa"/>
            <w:gridSpan w:val="3"/>
          </w:tcPr>
          <w:p w14:paraId="177824AF" w14:textId="59B4136A" w:rsidR="005E7A5F" w:rsidRDefault="005E7A5F" w:rsidP="005E7A5F">
            <w:pPr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</w:tr>
      <w:tr w:rsidR="005E7A5F" w14:paraId="2DBB12CC" w14:textId="77777777" w:rsidTr="005E7A5F">
        <w:tc>
          <w:tcPr>
            <w:tcW w:w="3005" w:type="dxa"/>
          </w:tcPr>
          <w:p w14:paraId="6CB3A9FB" w14:textId="4918A3E3" w:rsidR="005E7A5F" w:rsidRDefault="005E7A5F" w:rsidP="005E7A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438CEE61" w14:textId="6C599DA6" w:rsidR="005E7A5F" w:rsidRDefault="005E7A5F" w:rsidP="005E7A5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6" w:type="dxa"/>
          </w:tcPr>
          <w:p w14:paraId="10A1E42B" w14:textId="4501E8D5" w:rsidR="005E7A5F" w:rsidRDefault="005E7A5F" w:rsidP="005E7A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E7A5F" w14:paraId="6CA60414" w14:textId="77777777" w:rsidTr="00A7280D">
        <w:tc>
          <w:tcPr>
            <w:tcW w:w="9016" w:type="dxa"/>
            <w:gridSpan w:val="3"/>
          </w:tcPr>
          <w:p w14:paraId="4C4420AA" w14:textId="7F607F94" w:rsidR="005E7A5F" w:rsidRDefault="005E7A5F" w:rsidP="005E7A5F">
            <w:pPr>
              <w:rPr>
                <w:lang w:val="en-US"/>
              </w:rPr>
            </w:pPr>
            <w:r>
              <w:rPr>
                <w:lang w:val="en-US"/>
              </w:rPr>
              <w:t>VIP</w:t>
            </w:r>
          </w:p>
        </w:tc>
      </w:tr>
      <w:tr w:rsidR="005E7A5F" w14:paraId="597E80ED" w14:textId="77777777" w:rsidTr="005E7A5F">
        <w:tc>
          <w:tcPr>
            <w:tcW w:w="3005" w:type="dxa"/>
          </w:tcPr>
          <w:p w14:paraId="3F38A692" w14:textId="340B5F94" w:rsidR="005E7A5F" w:rsidRDefault="005E7A5F" w:rsidP="005E7A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7B5AF578" w14:textId="335E92B3" w:rsidR="005E7A5F" w:rsidRDefault="005E7A5F" w:rsidP="005E7A5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6" w:type="dxa"/>
          </w:tcPr>
          <w:p w14:paraId="6B87F2E7" w14:textId="4E2EA003" w:rsidR="005E7A5F" w:rsidRDefault="005E7A5F" w:rsidP="005E7A5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E7A5F" w14:paraId="1906D07D" w14:textId="77777777" w:rsidTr="005E7A5F">
        <w:tc>
          <w:tcPr>
            <w:tcW w:w="3005" w:type="dxa"/>
          </w:tcPr>
          <w:p w14:paraId="1BC175CA" w14:textId="60F12297" w:rsidR="005E7A5F" w:rsidRDefault="005E7A5F" w:rsidP="005E7A5F">
            <w:pPr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  <w:tc>
          <w:tcPr>
            <w:tcW w:w="3005" w:type="dxa"/>
          </w:tcPr>
          <w:p w14:paraId="67D07E0D" w14:textId="77777777" w:rsidR="005E7A5F" w:rsidRDefault="005E7A5F" w:rsidP="005E7A5F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4480B75A" w14:textId="77777777" w:rsidR="005E7A5F" w:rsidRDefault="005E7A5F" w:rsidP="005E7A5F">
            <w:pPr>
              <w:rPr>
                <w:lang w:val="en-US"/>
              </w:rPr>
            </w:pPr>
          </w:p>
        </w:tc>
      </w:tr>
      <w:tr w:rsidR="005E7A5F" w14:paraId="3D898A04" w14:textId="77777777" w:rsidTr="005E7A5F">
        <w:tc>
          <w:tcPr>
            <w:tcW w:w="3005" w:type="dxa"/>
          </w:tcPr>
          <w:p w14:paraId="752A5465" w14:textId="5998D3B9" w:rsidR="005E7A5F" w:rsidRDefault="005E7A5F" w:rsidP="005E7A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73F49210" w14:textId="56FF510C" w:rsidR="005E7A5F" w:rsidRDefault="005E7A5F" w:rsidP="005E7A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6" w:type="dxa"/>
          </w:tcPr>
          <w:p w14:paraId="089454E5" w14:textId="4AEAEC15" w:rsidR="005E7A5F" w:rsidRDefault="005E7A5F" w:rsidP="005E7A5F">
            <w:pPr>
              <w:rPr>
                <w:lang w:val="en-US"/>
              </w:rPr>
            </w:pPr>
            <w:r>
              <w:rPr>
                <w:lang w:val="en-US"/>
              </w:rPr>
              <w:t>1-2</w:t>
            </w:r>
          </w:p>
        </w:tc>
      </w:tr>
    </w:tbl>
    <w:p w14:paraId="72892E02" w14:textId="77777777" w:rsidR="00073595" w:rsidRDefault="00073595">
      <w:pPr>
        <w:rPr>
          <w:lang w:val="ru-RU"/>
        </w:rPr>
      </w:pPr>
    </w:p>
    <w:p w14:paraId="69D68886" w14:textId="2B68ED5C" w:rsidR="00073595" w:rsidRPr="00D31027" w:rsidRDefault="00073595" w:rsidP="00D3102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Выведем в таблицу данные по каждой группе </w:t>
      </w:r>
      <w:r w:rsidR="00D31027">
        <w:rPr>
          <w:lang w:val="ru-RU"/>
        </w:rPr>
        <w:t>по каждому месяцу 2017 года</w:t>
      </w:r>
    </w:p>
    <w:p w14:paraId="50E47437" w14:textId="77777777" w:rsidR="00073595" w:rsidRDefault="00073595">
      <w:pPr>
        <w:rPr>
          <w:lang w:val="ru-RU"/>
        </w:rPr>
      </w:pPr>
    </w:p>
    <w:p w14:paraId="198003E4" w14:textId="7366A554" w:rsidR="005E7A5F" w:rsidRDefault="00073595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C084630" wp14:editId="693453DA">
            <wp:extent cx="5731510" cy="560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6-15 at 14.23.5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8F96" w14:textId="3F4E41F0" w:rsidR="00D31027" w:rsidRDefault="00D31027">
      <w:pPr>
        <w:rPr>
          <w:lang w:val="ru-RU"/>
        </w:rPr>
      </w:pPr>
    </w:p>
    <w:p w14:paraId="130F34F2" w14:textId="639A69AA" w:rsidR="00D31027" w:rsidRDefault="00D31027" w:rsidP="00D3102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Проанализируем динамику изменения каждой из групп</w:t>
      </w:r>
      <w:r w:rsidRPr="00D31027">
        <w:rPr>
          <w:lang w:val="ru-RU"/>
        </w:rPr>
        <w:t>:</w:t>
      </w:r>
    </w:p>
    <w:p w14:paraId="35D48735" w14:textId="77777777" w:rsidR="00D31027" w:rsidRPr="00D31027" w:rsidRDefault="00D31027" w:rsidP="00D31027">
      <w:pPr>
        <w:pStyle w:val="ListParagraph"/>
        <w:rPr>
          <w:lang w:val="ru-RU"/>
        </w:rPr>
      </w:pPr>
    </w:p>
    <w:p w14:paraId="4B86C722" w14:textId="3553DE09" w:rsidR="00D31027" w:rsidRDefault="00D31027" w:rsidP="00D31027">
      <w:pPr>
        <w:rPr>
          <w:lang w:val="ru-RU"/>
        </w:rPr>
      </w:pPr>
      <w:r>
        <w:rPr>
          <w:noProof/>
        </w:rPr>
        <w:drawing>
          <wp:inline distT="0" distB="0" distL="0" distR="0" wp14:anchorId="47521F81" wp14:editId="37E4E7B9">
            <wp:extent cx="5731510" cy="2901461"/>
            <wp:effectExtent l="0" t="0" r="8890" b="698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501AEEF-B137-1540-9CA1-7D0E7D49E8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D79DAAE" w14:textId="5223C711" w:rsidR="00D31027" w:rsidRDefault="00D31027" w:rsidP="00D31027">
      <w:pPr>
        <w:rPr>
          <w:lang w:val="ru-RU"/>
        </w:rPr>
      </w:pPr>
    </w:p>
    <w:p w14:paraId="4198BB0E" w14:textId="4E5E40AF" w:rsidR="00D31027" w:rsidRPr="00D31027" w:rsidRDefault="00D31027" w:rsidP="00D31027">
      <w:pPr>
        <w:rPr>
          <w:lang w:val="en-US"/>
        </w:rPr>
      </w:pPr>
      <w:r>
        <w:rPr>
          <w:lang w:val="ru-RU"/>
        </w:rPr>
        <w:t>Из графика видно</w:t>
      </w:r>
      <w:r w:rsidRPr="00D31027">
        <w:rPr>
          <w:lang w:val="ru-RU"/>
        </w:rPr>
        <w:t>,</w:t>
      </w:r>
      <w:r>
        <w:rPr>
          <w:lang w:val="ru-RU"/>
        </w:rPr>
        <w:t xml:space="preserve"> что кол-во пользователей в группе </w:t>
      </w:r>
      <w:r>
        <w:rPr>
          <w:lang w:val="en-US"/>
        </w:rPr>
        <w:t>LOST</w:t>
      </w:r>
      <w:r w:rsidRPr="00D3102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VIP</w:t>
      </w:r>
      <w:r w:rsidRPr="00D31027">
        <w:rPr>
          <w:lang w:val="ru-RU"/>
        </w:rPr>
        <w:t xml:space="preserve"> </w:t>
      </w:r>
      <w:r>
        <w:rPr>
          <w:lang w:val="ru-RU"/>
        </w:rPr>
        <w:t>устойчиво растет</w:t>
      </w:r>
      <w:r w:rsidRPr="00D31027">
        <w:rPr>
          <w:lang w:val="ru-RU"/>
        </w:rPr>
        <w:t>,</w:t>
      </w:r>
      <w:r>
        <w:rPr>
          <w:lang w:val="ru-RU"/>
        </w:rPr>
        <w:t xml:space="preserve"> это вполне логичная тенденция для растущего магазина</w:t>
      </w:r>
      <w:r w:rsidRPr="00D31027">
        <w:rPr>
          <w:lang w:val="ru-RU"/>
        </w:rPr>
        <w:t>.</w:t>
      </w:r>
      <w:r>
        <w:rPr>
          <w:lang w:val="ru-RU"/>
        </w:rPr>
        <w:t xml:space="preserve"> Группа </w:t>
      </w:r>
      <w:r>
        <w:rPr>
          <w:lang w:val="en-US"/>
        </w:rPr>
        <w:t>REGULAR</w:t>
      </w:r>
      <w:r w:rsidRPr="00D31027">
        <w:rPr>
          <w:lang w:val="ru-RU"/>
        </w:rPr>
        <w:t xml:space="preserve"> </w:t>
      </w:r>
      <w:r>
        <w:rPr>
          <w:lang w:val="ru-RU"/>
        </w:rPr>
        <w:t>достаточно стабильна</w:t>
      </w:r>
      <w:r w:rsidRPr="00D31027">
        <w:rPr>
          <w:lang w:val="ru-RU"/>
        </w:rPr>
        <w:t>,</w:t>
      </w:r>
      <w:r>
        <w:rPr>
          <w:lang w:val="ru-RU"/>
        </w:rPr>
        <w:t xml:space="preserve"> так как пользователи из этой группы либо становятся</w:t>
      </w:r>
      <w:r w:rsidRPr="00D31027">
        <w:rPr>
          <w:lang w:val="ru-RU"/>
        </w:rPr>
        <w:t xml:space="preserve"> </w:t>
      </w:r>
      <w:r>
        <w:rPr>
          <w:lang w:val="ru-RU"/>
        </w:rPr>
        <w:t>постоянными клиентами магазина (</w:t>
      </w:r>
      <w:r>
        <w:rPr>
          <w:lang w:val="en-US"/>
        </w:rPr>
        <w:t>VIP</w:t>
      </w:r>
      <w:r w:rsidRPr="00D31027">
        <w:rPr>
          <w:lang w:val="ru-RU"/>
        </w:rPr>
        <w:t>),</w:t>
      </w:r>
      <w:r>
        <w:rPr>
          <w:lang w:val="ru-RU"/>
        </w:rPr>
        <w:t xml:space="preserve"> либо перестают пользоваться его услугами </w:t>
      </w:r>
      <w:r w:rsidRPr="00D31027">
        <w:rPr>
          <w:lang w:val="ru-RU"/>
        </w:rPr>
        <w:t>(</w:t>
      </w:r>
      <w:r>
        <w:rPr>
          <w:lang w:val="en-US"/>
        </w:rPr>
        <w:t>LOST</w:t>
      </w:r>
      <w:r w:rsidRPr="00D31027">
        <w:rPr>
          <w:lang w:val="ru-RU"/>
        </w:rPr>
        <w:t xml:space="preserve">). </w:t>
      </w:r>
      <w:r>
        <w:rPr>
          <w:lang w:val="ru-RU"/>
        </w:rPr>
        <w:t xml:space="preserve">Видна </w:t>
      </w:r>
      <w:r>
        <w:rPr>
          <w:lang w:val="ru-RU"/>
        </w:rPr>
        <w:lastRenderedPageBreak/>
        <w:t xml:space="preserve">небольшая сезонность в группе </w:t>
      </w:r>
      <w:r>
        <w:rPr>
          <w:lang w:val="en-US"/>
        </w:rPr>
        <w:t>NEW</w:t>
      </w:r>
      <w:r w:rsidRPr="00D31027">
        <w:rPr>
          <w:lang w:val="ru-RU"/>
        </w:rPr>
        <w:t>,</w:t>
      </w:r>
      <w:r>
        <w:rPr>
          <w:lang w:val="ru-RU"/>
        </w:rPr>
        <w:t xml:space="preserve"> кол-во новых пользователей в декабре-январе чуть выше</w:t>
      </w:r>
      <w:r w:rsidRPr="00D31027">
        <w:rPr>
          <w:lang w:val="ru-RU"/>
        </w:rPr>
        <w:t>,</w:t>
      </w:r>
      <w:r>
        <w:rPr>
          <w:lang w:val="ru-RU"/>
        </w:rPr>
        <w:t xml:space="preserve"> чем в любой другой месяц (скорее всего связанно с НГ праздниками)</w:t>
      </w:r>
      <w:r w:rsidRPr="00D31027">
        <w:rPr>
          <w:lang w:val="ru-RU"/>
        </w:rPr>
        <w:t>.</w:t>
      </w:r>
      <w:r>
        <w:rPr>
          <w:lang w:val="ru-RU"/>
        </w:rPr>
        <w:t xml:space="preserve"> Однако число людей в данной группе остается более или менее постоянным</w:t>
      </w:r>
      <w:r w:rsidRPr="00D31027">
        <w:rPr>
          <w:lang w:val="ru-RU"/>
        </w:rPr>
        <w:t>,</w:t>
      </w:r>
      <w:r>
        <w:rPr>
          <w:lang w:val="ru-RU"/>
        </w:rPr>
        <w:t xml:space="preserve"> так как магазин существует уже далеко не 1 год и вряд ли существенно увеличивает свой маркетинговый бюджет</w:t>
      </w:r>
      <w:r w:rsidRPr="00D31027">
        <w:rPr>
          <w:lang w:val="ru-RU"/>
        </w:rPr>
        <w:t>.</w:t>
      </w:r>
    </w:p>
    <w:sectPr w:rsidR="00D31027" w:rsidRPr="00D31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353"/>
    <w:multiLevelType w:val="hybridMultilevel"/>
    <w:tmpl w:val="1B421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A5F"/>
    <w:rsid w:val="00073595"/>
    <w:rsid w:val="005E7A5F"/>
    <w:rsid w:val="00D3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255E6F"/>
  <w15:chartTrackingRefBased/>
  <w15:docId w15:val="{0CA47D87-C933-1E4C-9343-D623E3F5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7A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3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3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Кол-во</a:t>
            </a:r>
            <a:r>
              <a:rPr lang="ru-RU" baseline="0"/>
              <a:t> пользователей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LOST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Sheet1!$B$2:$M$2</c:f>
              <c:numCache>
                <c:formatCode>mmm\-yy</c:formatCode>
                <c:ptCount val="12"/>
                <c:pt idx="0">
                  <c:v>42736</c:v>
                </c:pt>
                <c:pt idx="1">
                  <c:v>42767</c:v>
                </c:pt>
                <c:pt idx="2">
                  <c:v>42795</c:v>
                </c:pt>
                <c:pt idx="3">
                  <c:v>42826</c:v>
                </c:pt>
                <c:pt idx="4">
                  <c:v>42856</c:v>
                </c:pt>
                <c:pt idx="5">
                  <c:v>42887</c:v>
                </c:pt>
                <c:pt idx="6">
                  <c:v>42917</c:v>
                </c:pt>
                <c:pt idx="7">
                  <c:v>42948</c:v>
                </c:pt>
                <c:pt idx="8">
                  <c:v>42979</c:v>
                </c:pt>
                <c:pt idx="9">
                  <c:v>43009</c:v>
                </c:pt>
                <c:pt idx="10">
                  <c:v>43040</c:v>
                </c:pt>
                <c:pt idx="11">
                  <c:v>43070</c:v>
                </c:pt>
              </c:numCache>
            </c:numRef>
          </c:cat>
          <c:val>
            <c:numRef>
              <c:f>Sheet1!$B$3:$M$3</c:f>
              <c:numCache>
                <c:formatCode>General</c:formatCode>
                <c:ptCount val="12"/>
                <c:pt idx="0">
                  <c:v>224935</c:v>
                </c:pt>
                <c:pt idx="1">
                  <c:v>268281</c:v>
                </c:pt>
                <c:pt idx="2">
                  <c:v>326389</c:v>
                </c:pt>
                <c:pt idx="3">
                  <c:v>400361</c:v>
                </c:pt>
                <c:pt idx="4">
                  <c:v>431876</c:v>
                </c:pt>
                <c:pt idx="5">
                  <c:v>468916</c:v>
                </c:pt>
                <c:pt idx="6">
                  <c:v>508762</c:v>
                </c:pt>
                <c:pt idx="7">
                  <c:v>549365</c:v>
                </c:pt>
                <c:pt idx="8">
                  <c:v>592520</c:v>
                </c:pt>
                <c:pt idx="9">
                  <c:v>627758</c:v>
                </c:pt>
                <c:pt idx="10">
                  <c:v>661380</c:v>
                </c:pt>
                <c:pt idx="11">
                  <c:v>694531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AA-6449-9534-ADFC67791DEB}"/>
            </c:ext>
          </c:extLst>
        </c:ser>
        <c:ser>
          <c:idx val="1"/>
          <c:order val="1"/>
          <c:tx>
            <c:strRef>
              <c:f>Sheet1!$A$4</c:f>
              <c:strCache>
                <c:ptCount val="1"/>
                <c:pt idx="0">
                  <c:v>NEW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Sheet1!$B$2:$M$2</c:f>
              <c:numCache>
                <c:formatCode>mmm\-yy</c:formatCode>
                <c:ptCount val="12"/>
                <c:pt idx="0">
                  <c:v>42736</c:v>
                </c:pt>
                <c:pt idx="1">
                  <c:v>42767</c:v>
                </c:pt>
                <c:pt idx="2">
                  <c:v>42795</c:v>
                </c:pt>
                <c:pt idx="3">
                  <c:v>42826</c:v>
                </c:pt>
                <c:pt idx="4">
                  <c:v>42856</c:v>
                </c:pt>
                <c:pt idx="5">
                  <c:v>42887</c:v>
                </c:pt>
                <c:pt idx="6">
                  <c:v>42917</c:v>
                </c:pt>
                <c:pt idx="7">
                  <c:v>42948</c:v>
                </c:pt>
                <c:pt idx="8">
                  <c:v>42979</c:v>
                </c:pt>
                <c:pt idx="9">
                  <c:v>43009</c:v>
                </c:pt>
                <c:pt idx="10">
                  <c:v>43040</c:v>
                </c:pt>
                <c:pt idx="11">
                  <c:v>43070</c:v>
                </c:pt>
              </c:numCache>
            </c:numRef>
          </c:cat>
          <c:val>
            <c:numRef>
              <c:f>Sheet1!$B$4:$M$4</c:f>
              <c:numCache>
                <c:formatCode>General</c:formatCode>
                <c:ptCount val="12"/>
                <c:pt idx="0">
                  <c:v>152775</c:v>
                </c:pt>
                <c:pt idx="1">
                  <c:v>145471</c:v>
                </c:pt>
                <c:pt idx="2">
                  <c:v>124928</c:v>
                </c:pt>
                <c:pt idx="3">
                  <c:v>96456</c:v>
                </c:pt>
                <c:pt idx="4">
                  <c:v>100119</c:v>
                </c:pt>
                <c:pt idx="5">
                  <c:v>102581</c:v>
                </c:pt>
                <c:pt idx="6">
                  <c:v>100553</c:v>
                </c:pt>
                <c:pt idx="7">
                  <c:v>99653</c:v>
                </c:pt>
                <c:pt idx="8">
                  <c:v>100457</c:v>
                </c:pt>
                <c:pt idx="9">
                  <c:v>104611</c:v>
                </c:pt>
                <c:pt idx="10">
                  <c:v>118043</c:v>
                </c:pt>
                <c:pt idx="11">
                  <c:v>143200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BAA-6449-9534-ADFC67791DEB}"/>
            </c:ext>
          </c:extLst>
        </c:ser>
        <c:ser>
          <c:idx val="2"/>
          <c:order val="2"/>
          <c:tx>
            <c:strRef>
              <c:f>Sheet1!$A$5</c:f>
              <c:strCache>
                <c:ptCount val="1"/>
                <c:pt idx="0">
                  <c:v>REGULAR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Sheet1!$B$2:$M$2</c:f>
              <c:numCache>
                <c:formatCode>mmm\-yy</c:formatCode>
                <c:ptCount val="12"/>
                <c:pt idx="0">
                  <c:v>42736</c:v>
                </c:pt>
                <c:pt idx="1">
                  <c:v>42767</c:v>
                </c:pt>
                <c:pt idx="2">
                  <c:v>42795</c:v>
                </c:pt>
                <c:pt idx="3">
                  <c:v>42826</c:v>
                </c:pt>
                <c:pt idx="4">
                  <c:v>42856</c:v>
                </c:pt>
                <c:pt idx="5">
                  <c:v>42887</c:v>
                </c:pt>
                <c:pt idx="6">
                  <c:v>42917</c:v>
                </c:pt>
                <c:pt idx="7">
                  <c:v>42948</c:v>
                </c:pt>
                <c:pt idx="8">
                  <c:v>42979</c:v>
                </c:pt>
                <c:pt idx="9">
                  <c:v>43009</c:v>
                </c:pt>
                <c:pt idx="10">
                  <c:v>43040</c:v>
                </c:pt>
                <c:pt idx="11">
                  <c:v>43070</c:v>
                </c:pt>
              </c:numCache>
            </c:numRef>
          </c:cat>
          <c:val>
            <c:numRef>
              <c:f>Sheet1!$B$5:$M$5</c:f>
              <c:numCache>
                <c:formatCode>General</c:formatCode>
                <c:ptCount val="12"/>
                <c:pt idx="0">
                  <c:v>54542</c:v>
                </c:pt>
                <c:pt idx="1">
                  <c:v>53486</c:v>
                </c:pt>
                <c:pt idx="2">
                  <c:v>49432</c:v>
                </c:pt>
                <c:pt idx="3">
                  <c:v>44617</c:v>
                </c:pt>
                <c:pt idx="4">
                  <c:v>46362</c:v>
                </c:pt>
                <c:pt idx="5">
                  <c:v>47736</c:v>
                </c:pt>
                <c:pt idx="6">
                  <c:v>46437</c:v>
                </c:pt>
                <c:pt idx="7">
                  <c:v>44557</c:v>
                </c:pt>
                <c:pt idx="8">
                  <c:v>43074</c:v>
                </c:pt>
                <c:pt idx="9">
                  <c:v>43294</c:v>
                </c:pt>
                <c:pt idx="10">
                  <c:v>47786</c:v>
                </c:pt>
                <c:pt idx="11">
                  <c:v>56002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BAA-6449-9534-ADFC67791DEB}"/>
            </c:ext>
          </c:extLst>
        </c:ser>
        <c:ser>
          <c:idx val="3"/>
          <c:order val="3"/>
          <c:tx>
            <c:strRef>
              <c:f>Sheet1!$A$6</c:f>
              <c:strCache>
                <c:ptCount val="1"/>
                <c:pt idx="0">
                  <c:v>VIP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Sheet1!$B$2:$M$2</c:f>
              <c:numCache>
                <c:formatCode>mmm\-yy</c:formatCode>
                <c:ptCount val="12"/>
                <c:pt idx="0">
                  <c:v>42736</c:v>
                </c:pt>
                <c:pt idx="1">
                  <c:v>42767</c:v>
                </c:pt>
                <c:pt idx="2">
                  <c:v>42795</c:v>
                </c:pt>
                <c:pt idx="3">
                  <c:v>42826</c:v>
                </c:pt>
                <c:pt idx="4">
                  <c:v>42856</c:v>
                </c:pt>
                <c:pt idx="5">
                  <c:v>42887</c:v>
                </c:pt>
                <c:pt idx="6">
                  <c:v>42917</c:v>
                </c:pt>
                <c:pt idx="7">
                  <c:v>42948</c:v>
                </c:pt>
                <c:pt idx="8">
                  <c:v>42979</c:v>
                </c:pt>
                <c:pt idx="9">
                  <c:v>43009</c:v>
                </c:pt>
                <c:pt idx="10">
                  <c:v>43040</c:v>
                </c:pt>
                <c:pt idx="11">
                  <c:v>43070</c:v>
                </c:pt>
              </c:numCache>
            </c:numRef>
          </c:cat>
          <c:val>
            <c:numRef>
              <c:f>Sheet1!$B$6:$M$6</c:f>
              <c:numCache>
                <c:formatCode>General</c:formatCode>
                <c:ptCount val="12"/>
                <c:pt idx="0">
                  <c:v>12840</c:v>
                </c:pt>
                <c:pt idx="1">
                  <c:v>13594</c:v>
                </c:pt>
                <c:pt idx="2">
                  <c:v>13811</c:v>
                </c:pt>
                <c:pt idx="3">
                  <c:v>14847</c:v>
                </c:pt>
                <c:pt idx="4">
                  <c:v>16045</c:v>
                </c:pt>
                <c:pt idx="5">
                  <c:v>17219</c:v>
                </c:pt>
                <c:pt idx="6">
                  <c:v>17450</c:v>
                </c:pt>
                <c:pt idx="7">
                  <c:v>17409</c:v>
                </c:pt>
                <c:pt idx="8">
                  <c:v>17449</c:v>
                </c:pt>
                <c:pt idx="9">
                  <c:v>18254</c:v>
                </c:pt>
                <c:pt idx="10">
                  <c:v>20450</c:v>
                </c:pt>
                <c:pt idx="11">
                  <c:v>23210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BAA-6449-9534-ADFC67791D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65682480"/>
        <c:axId val="965682864"/>
      </c:lineChart>
      <c:dateAx>
        <c:axId val="965682480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965682864"/>
        <c:crosses val="autoZero"/>
        <c:auto val="1"/>
        <c:lblOffset val="100"/>
        <c:baseTimeUnit val="months"/>
      </c:dateAx>
      <c:valAx>
        <c:axId val="96568286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965682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Тимофеев Алексей</dc:creator>
  <cp:keywords/>
  <dc:description/>
  <cp:lastModifiedBy>Тимофеев Алексей</cp:lastModifiedBy>
  <cp:revision>1</cp:revision>
  <dcterms:created xsi:type="dcterms:W3CDTF">2020-06-15T11:04:00Z</dcterms:created>
  <dcterms:modified xsi:type="dcterms:W3CDTF">2020-06-15T11:33:00Z</dcterms:modified>
</cp:coreProperties>
</file>