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1.png"/>
  <Override ContentType="image/png" PartName="/word/media/2.png"/>
  <Override ContentType="image/png" PartName="/word/media/3.png"/>
  <Override ContentType="image/png" PartName="/word/media/4.png"/>
  <Override ContentType="image/png" PartName="/word/media/5.png"/>
  <Override ContentType="image/png" PartName="/word/media/6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numPr>
          <w:ilvl w:val="0"/>
          <w:numId w:val="1"/>
        </w:numPr>
        <w:spacing w:before="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02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Cоздание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смет</w:t>
      </w:r>
    </w:p>
    <w:p w14:paraId="03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Составляйте сметы для контроля и согласования</w:t>
      </w:r>
    </w:p>
    <w:p w14:paraId="04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Предоставляйте доступ к смете заказчику</w:t>
      </w:r>
    </w:p>
    <w:p w14:paraId="05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Загружайте свои сметы из Excel, Гранд Сметы, Smeta.ru и др.</w:t>
      </w:r>
    </w:p>
    <w:p w14:paraId="06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Контролируйте отклонения от бюджета</w:t>
      </w:r>
    </w:p>
    <w:p w14:paraId="07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Отслеживайте план-факт в реальном времени</w:t>
      </w:r>
    </w:p>
    <w:p w14:paraId="08000000">
      <w:pPr>
        <w:numPr>
          <w:ilvl w:val="0"/>
          <w:numId w:val="1"/>
        </w:numPr>
        <w:spacing w:before="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09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График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работ</w:t>
      </w:r>
    </w:p>
    <w:p w14:paraId="0A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Планируйте ход работ проекта на графике</w:t>
      </w:r>
    </w:p>
    <w:p w14:paraId="0B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Визуализируйте и контролируйте работу прорабов</w:t>
      </w:r>
    </w:p>
    <w:p w14:paraId="0C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Связывайте работы между собой</w:t>
      </w:r>
    </w:p>
    <w:p w14:paraId="0D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Предоставьте доступ к графику заказчику</w:t>
      </w:r>
    </w:p>
    <w:p w14:paraId="0E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Скачивайте график для заказчика и подрядчиков</w:t>
      </w:r>
    </w:p>
    <w:p w14:paraId="0F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10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Финансовый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учет</w:t>
      </w:r>
    </w:p>
    <w:p w14:paraId="11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Создавайте расчетные счета компании</w:t>
      </w:r>
    </w:p>
    <w:p w14:paraId="12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Учитывайте подотчетные счета прорабов</w:t>
      </w:r>
    </w:p>
    <w:p w14:paraId="13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Добавляйте собственные статьи операций</w:t>
      </w:r>
    </w:p>
    <w:p w14:paraId="14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Импортируйте операции из банков и 1С</w:t>
      </w:r>
    </w:p>
    <w:p w14:paraId="15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Получайте уведомления о срочных счетах</w:t>
      </w:r>
    </w:p>
    <w:p w14:paraId="16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17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Управление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снабжением</w:t>
      </w:r>
    </w:p>
    <w:p w14:paraId="18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Получайте заявки на закупку из позиций сметы автоматически</w:t>
      </w:r>
    </w:p>
    <w:p w14:paraId="19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Контролируйте бюджет закупок и перерасходы</w:t>
      </w:r>
    </w:p>
    <w:p w14:paraId="1A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Создавайте заказы на поставку материалов</w:t>
      </w:r>
    </w:p>
    <w:p w14:paraId="1B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Разделяйте заявки на разные партии</w:t>
      </w:r>
    </w:p>
    <w:p w14:paraId="1C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Получайте заявки со стройки от прорабов</w:t>
      </w:r>
    </w:p>
    <w:p w14:paraId="1D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1E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Контроль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стройки</w:t>
      </w:r>
    </w:p>
    <w:p w14:paraId="1F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Дистанционно получайте отчеты от прорабов</w:t>
      </w:r>
    </w:p>
    <w:p w14:paraId="20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Контролируйте прогресс по работам</w:t>
      </w:r>
    </w:p>
    <w:p w14:paraId="21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Отчитывайтесь по работам через Telegram-бот</w:t>
      </w:r>
    </w:p>
    <w:p w14:paraId="22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Получайте уведомления о завершении работ</w:t>
      </w:r>
    </w:p>
    <w:p w14:paraId="23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Отправляйте заявки на материалы в снабжение</w:t>
      </w:r>
    </w:p>
    <w:p w14:paraId="24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25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Cкладской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учет</w:t>
      </w:r>
    </w:p>
    <w:p w14:paraId="26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Оприходование, списание и перемещение</w:t>
      </w:r>
    </w:p>
    <w:p w14:paraId="27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Прием материалов на основании заказ снабжения</w:t>
      </w:r>
    </w:p>
    <w:p w14:paraId="28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Контроль остатков на складах</w:t>
      </w:r>
    </w:p>
    <w:p w14:paraId="29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Автоматическое формирование складских документов</w:t>
      </w:r>
    </w:p>
    <w:p w14:paraId="2A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2B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Справочник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расценок</w:t>
      </w:r>
    </w:p>
    <w:p w14:paraId="2C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Ускорьте составление смет по справочникам расценок</w:t>
      </w:r>
    </w:p>
    <w:p w14:paraId="2D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Легко ведите учет всех контрагентов</w:t>
      </w:r>
    </w:p>
    <w:p w14:paraId="2E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Загружайте свои справочники из Excel</w:t>
      </w:r>
    </w:p>
    <w:p w14:paraId="2F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Создавайте папки для расценок и справочника контрагентов</w:t>
      </w:r>
    </w:p>
    <w:p w14:paraId="30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Формируйте смету как конструктор благодаря технологическим операциям</w:t>
      </w:r>
    </w:p>
    <w:p w14:paraId="31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32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Документы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и акты</w:t>
      </w:r>
    </w:p>
    <w:p w14:paraId="33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Получайте акты КС2, КС3 автоматически</w:t>
      </w:r>
    </w:p>
    <w:p w14:paraId="34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Скачивайте и печатайте документы по проекту</w:t>
      </w:r>
    </w:p>
    <w:p w14:paraId="35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Экономьте время сотрудников на заполнение актов</w:t>
      </w:r>
    </w:p>
    <w:p w14:paraId="36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37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Управленческие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отчеты</w:t>
      </w:r>
    </w:p>
    <w:p w14:paraId="38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Отчет о прибылях и убытках</w:t>
      </w:r>
    </w:p>
    <w:p w14:paraId="39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Отчет о движения денежных средств</w:t>
      </w:r>
    </w:p>
    <w:p w14:paraId="3A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Взаиморасчеты с заказчиками, подрядчиками, поставщиками</w:t>
      </w:r>
    </w:p>
    <w:p w14:paraId="3B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Отчеты по проектам (финансы и сроки)</w:t>
      </w:r>
    </w:p>
    <w:p w14:paraId="3C000000">
      <w:pPr>
        <w:numPr>
          <w:ilvl w:val="0"/>
          <w:numId w:val="1"/>
        </w:numPr>
        <w:spacing w:before="825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3D000000">
      <w:pPr>
        <w:pBdr>
          <w:top w:val="single"/>
          <w:left w:val="single"/>
          <w:bottom w:val="single"/>
          <w:right w:val="single"/>
        </w:pBdr>
        <w:spacing w:after="210" w:before="150"/>
        <w:ind w:firstLine="0" w:left="3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Постановка</w:t>
      </w:r>
      <w:r>
        <w:rPr>
          <w:rFonts w:ascii="Times New Roman" w:hAnsi="Times New Roman"/>
          <w:sz w:val="20"/>
        </w:rPr>
        <w:br/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задач</w:t>
      </w:r>
    </w:p>
    <w:p w14:paraId="3E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Ставьте любые задачи сотрудникам</w:t>
      </w:r>
    </w:p>
    <w:p w14:paraId="3F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Контролируйте сроки выполнения задач</w:t>
      </w:r>
    </w:p>
    <w:p w14:paraId="40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Обсуждайте задачи в комментариях</w:t>
      </w:r>
    </w:p>
    <w:p w14:paraId="41000000">
      <w:pPr>
        <w:numPr>
          <w:ilvl w:val="1"/>
          <w:numId w:val="1"/>
        </w:num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  <w:t>Выполняйте задачи в срок благодаря напоминаниям</w:t>
      </w:r>
    </w:p>
    <w:p w14:paraId="42000000">
      <w:p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</w:p>
    <w:p w14:paraId="43000000">
      <w:p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drawing>
          <wp:inline>
            <wp:extent cx="6264274" cy="5952298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264274" cy="59522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000000">
      <w:pPr>
        <w:ind w:firstLine="0" w:left="600" w:right="300"/>
        <w:rPr>
          <w:rFonts w:ascii="Times New Roman" w:hAnsi="Times New Roman"/>
          <w:b w:val="0"/>
          <w:i w:val="0"/>
          <w:caps w:val="0"/>
          <w:color w:val="000000"/>
          <w:spacing w:val="0"/>
          <w:sz w:val="20"/>
        </w:rPr>
      </w:pPr>
      <w:r>
        <w:drawing>
          <wp:inline>
            <wp:extent cx="6264274" cy="3939989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6264274" cy="39399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000000">
      <w:pPr>
        <w:pStyle w:val="Style_1"/>
        <w:rPr>
          <w:rFonts w:ascii="Times New Roman" w:hAnsi="Times New Roman"/>
          <w:sz w:val="20"/>
        </w:rPr>
      </w:pPr>
    </w:p>
    <w:p w14:paraId="46000000">
      <w:pPr>
        <w:pStyle w:val="Style_1"/>
        <w:rPr>
          <w:rFonts w:ascii="Times New Roman" w:hAnsi="Times New Roman"/>
          <w:sz w:val="20"/>
        </w:rPr>
      </w:pPr>
    </w:p>
    <w:p w14:paraId="47000000">
      <w:pPr>
        <w:pStyle w:val="Style_1"/>
        <w:rPr>
          <w:rFonts w:ascii="Times New Roman" w:hAnsi="Times New Roman"/>
          <w:sz w:val="20"/>
        </w:rPr>
      </w:pPr>
      <w:r>
        <w:drawing>
          <wp:inline>
            <wp:extent cx="6264275" cy="3074052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tretch/>
                  </pic:blipFill>
                  <pic:spPr>
                    <a:xfrm flipH="false" flipV="false" rot="0">
                      <a:ext cx="6264275" cy="30740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000000">
      <w:pPr>
        <w:pStyle w:val="Style_1"/>
        <w:rPr>
          <w:rFonts w:ascii="Times New Roman" w:hAnsi="Times New Roman"/>
          <w:sz w:val="20"/>
        </w:rPr>
      </w:pPr>
    </w:p>
    <w:p w14:paraId="49000000">
      <w:pPr>
        <w:pStyle w:val="Style_1"/>
        <w:rPr>
          <w:rFonts w:ascii="Times New Roman" w:hAnsi="Times New Roman"/>
          <w:sz w:val="20"/>
        </w:rPr>
      </w:pPr>
    </w:p>
    <w:p w14:paraId="4A000000">
      <w:pPr>
        <w:pStyle w:val="Style_1"/>
        <w:rPr>
          <w:rFonts w:ascii="Times New Roman" w:hAnsi="Times New Roman"/>
          <w:sz w:val="20"/>
        </w:rPr>
      </w:pPr>
    </w:p>
    <w:p w14:paraId="4B000000">
      <w:pPr>
        <w:pStyle w:val="Style_1"/>
        <w:rPr>
          <w:rFonts w:ascii="Times New Roman" w:hAnsi="Times New Roman"/>
          <w:sz w:val="20"/>
        </w:rPr>
      </w:pPr>
      <w:r>
        <w:drawing>
          <wp:inline>
            <wp:extent cx="6264275" cy="3248029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6264275" cy="32480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000000">
      <w:pPr>
        <w:pStyle w:val="Style_1"/>
        <w:rPr>
          <w:rFonts w:ascii="Times New Roman" w:hAnsi="Times New Roman"/>
          <w:sz w:val="20"/>
        </w:rPr>
      </w:pPr>
    </w:p>
    <w:p w14:paraId="4D000000">
      <w:pPr>
        <w:pStyle w:val="Style_1"/>
        <w:rPr>
          <w:rFonts w:ascii="Times New Roman" w:hAnsi="Times New Roman"/>
          <w:sz w:val="20"/>
        </w:rPr>
      </w:pPr>
      <w:r>
        <w:drawing>
          <wp:inline>
            <wp:extent cx="6264274" cy="3126131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6264274" cy="31261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000000">
      <w:pPr>
        <w:pStyle w:val="Style_1"/>
        <w:rPr>
          <w:rFonts w:ascii="Times New Roman" w:hAnsi="Times New Roman"/>
          <w:sz w:val="20"/>
        </w:rPr>
      </w:pPr>
    </w:p>
    <w:p w14:paraId="4F000000">
      <w:pPr>
        <w:pStyle w:val="Style_1"/>
        <w:rPr>
          <w:rFonts w:ascii="Times New Roman" w:hAnsi="Times New Roman"/>
          <w:sz w:val="20"/>
        </w:rPr>
      </w:pPr>
    </w:p>
    <w:p w14:paraId="50000000">
      <w:pPr>
        <w:pStyle w:val="Style_1"/>
        <w:rPr>
          <w:rFonts w:ascii="Times New Roman" w:hAnsi="Times New Roman"/>
          <w:sz w:val="20"/>
        </w:rPr>
      </w:pPr>
      <w:r>
        <w:drawing>
          <wp:inline>
            <wp:extent cx="6264274" cy="3314947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6264274" cy="33149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1000000">
      <w:pPr>
        <w:pStyle w:val="Style_1"/>
        <w:rPr>
          <w:rFonts w:ascii="Times New Roman" w:hAnsi="Times New Roman"/>
          <w:sz w:val="20"/>
        </w:rPr>
      </w:pPr>
    </w:p>
    <w:p w14:paraId="52000000">
      <w:pPr>
        <w:pStyle w:val="Style_1"/>
        <w:rPr>
          <w:rFonts w:ascii="Times New Roman" w:hAnsi="Times New Roman"/>
          <w:sz w:val="20"/>
        </w:rPr>
      </w:pPr>
    </w:p>
    <w:p w14:paraId="53000000">
      <w:pPr>
        <w:pStyle w:val="Style_1"/>
        <w:rPr>
          <w:rFonts w:ascii="Times New Roman" w:hAnsi="Times New Roman"/>
          <w:sz w:val="20"/>
        </w:rPr>
      </w:pPr>
    </w:p>
    <w:p w14:paraId="54000000">
      <w:pPr>
        <w:pStyle w:val="Style_1"/>
        <w:rPr>
          <w:rFonts w:ascii="Times New Roman" w:hAnsi="Times New Roman"/>
          <w:sz w:val="20"/>
        </w:rPr>
      </w:pPr>
    </w:p>
    <w:p w14:paraId="55000000">
      <w:pPr>
        <w:pStyle w:val="Style_1"/>
        <w:rPr>
          <w:rFonts w:ascii="Times New Roman" w:hAnsi="Times New Roman"/>
          <w:sz w:val="20"/>
        </w:rPr>
      </w:pPr>
    </w:p>
    <w:p w14:paraId="56000000">
      <w:pPr>
        <w:pStyle w:val="Style_1"/>
        <w:rPr>
          <w:rFonts w:ascii="Times New Roman" w:hAnsi="Times New Roman"/>
          <w:sz w:val="20"/>
        </w:rPr>
      </w:pPr>
    </w:p>
    <w:p w14:paraId="57000000">
      <w:pPr>
        <w:pStyle w:val="Style_1"/>
        <w:rPr>
          <w:rFonts w:ascii="Times New Roman" w:hAnsi="Times New Roman"/>
          <w:sz w:val="20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widowControl w:val="1"/>
        <w:ind w:hanging="360" w:left="720"/>
      </w:pPr>
      <w:rPr>
        <w:rFonts w:ascii="Symbol" w:hAnsi="Symbol"/>
      </w:rPr>
    </w:lvl>
    <w:lvl w:ilvl="1">
      <w:numFmt w:val="bullet"/>
      <w:lvlText w:val="o"/>
      <w:pPr>
        <w:widowControl w:val="1"/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widowControl w:val="1"/>
        <w:ind w:hanging="360" w:left="2160"/>
      </w:pPr>
      <w:rPr>
        <w:rFonts w:ascii="Wingdings" w:hAnsi="Wingdings"/>
      </w:rPr>
    </w:lvl>
    <w:lvl w:ilvl="3">
      <w:numFmt w:val="bullet"/>
      <w:lvlText w:val=""/>
      <w:pPr>
        <w:widowControl w:val="1"/>
        <w:ind w:hanging="360" w:left="2880"/>
      </w:pPr>
      <w:rPr>
        <w:rFonts w:ascii="Symbol" w:hAnsi="Symbol"/>
      </w:rPr>
    </w:lvl>
    <w:lvl w:ilvl="4">
      <w:numFmt w:val="bullet"/>
      <w:lvlText w:val="o"/>
      <w:pPr>
        <w:widowControl w:val="1"/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widowControl w:val="1"/>
        <w:ind w:hanging="360" w:left="4320"/>
      </w:pPr>
      <w:rPr>
        <w:rFonts w:ascii="Wingdings" w:hAnsi="Wingdings"/>
      </w:rPr>
    </w:lvl>
    <w:lvl w:ilvl="6">
      <w:numFmt w:val="bullet"/>
      <w:lvlText w:val=""/>
      <w:pPr>
        <w:widowControl w:val="1"/>
        <w:ind w:hanging="360" w:left="5040"/>
      </w:pPr>
      <w:rPr>
        <w:rFonts w:ascii="Symbol" w:hAnsi="Symbol"/>
      </w:rPr>
    </w:lvl>
    <w:lvl w:ilvl="7">
      <w:numFmt w:val="bullet"/>
      <w:lvlText w:val="o"/>
      <w:pPr>
        <w:widowControl w:val="1"/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widowControl w:val="1"/>
        <w:ind w:hanging="360" w:left="648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3" Target="numbering.xml" Type="http://schemas.openxmlformats.org/officeDocument/2006/relationships/numbering"/>
  <Relationship Id="rId4" Target="media/4.png" Type="http://schemas.openxmlformats.org/officeDocument/2006/relationships/image"/>
  <Relationship Id="rId1" Target="media/1.png" Type="http://schemas.openxmlformats.org/officeDocument/2006/relationships/image"/>
  <Relationship Id="rId8" Target="settings.xml" Type="http://schemas.openxmlformats.org/officeDocument/2006/relationships/settings"/>
  <Relationship Id="rId12" Target="theme/theme1.xml" Type="http://schemas.openxmlformats.org/officeDocument/2006/relationships/theme"/>
  <Relationship Id="rId10" Target="stylesWithEffects.xml" Type="http://schemas.microsoft.com/office/2007/relationships/stylesWithEffects"/>
  <Relationship Id="rId7" Target="fontTable.xml" Type="http://schemas.openxmlformats.org/officeDocument/2006/relationships/fontTable"/>
  <Relationship Id="rId5" Target="media/5.png" Type="http://schemas.openxmlformats.org/officeDocument/2006/relationships/image"/>
  <Relationship Id="rId3" Target="media/3.png" Type="http://schemas.openxmlformats.org/officeDocument/2006/relationships/image"/>
  <Relationship Id="rId2" Target="media/2.png" Type="http://schemas.openxmlformats.org/officeDocument/2006/relationships/image"/>
  <Relationship Id="rId9" Target="styles.xml" Type="http://schemas.openxmlformats.org/officeDocument/2006/relationships/styles"/>
  <Relationship Id="rId6" Target="media/6.png" Type="http://schemas.openxmlformats.org/officeDocument/2006/relationships/image"/>
  <Relationship Id="rId11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14="http://schemas.microsoft.com/office/powerpoint/2010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2026-07-24T09:11:32Z</dcterms:created>
  <dcterms:modified xsi:type="dcterms:W3CDTF">2026-09-30T05:03:47Z</dcterms:modified>
</cp:coreProperties>
</file>