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>МИНИСТЕРСТВО ОБРАЗОВАНИЯ РЕСПУБЛИКИ БЕЛАРУСЬ</w:t>
      </w: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>УО «Белорусский государственный экономический университет»</w:t>
      </w: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right"/>
      </w:pPr>
      <w:r>
        <w:rPr>
          <w:rStyle w:val="Нет"/>
          <w:rtl w:val="0"/>
          <w:lang w:val="ru-RU"/>
        </w:rPr>
        <w:t>УТВЕРЖДАЮ</w:t>
      </w:r>
    </w:p>
    <w:p>
      <w:pPr>
        <w:pStyle w:val="Normal.0"/>
        <w:ind w:firstLine="0"/>
        <w:jc w:val="right"/>
      </w:pPr>
      <w:r>
        <w:rPr>
          <w:rStyle w:val="Нет"/>
          <w:rtl w:val="0"/>
          <w:lang w:val="ru-RU"/>
        </w:rPr>
        <w:t>Руководитель организации</w:t>
      </w: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 xml:space="preserve">                                                                                   _____________ (</w:t>
      </w:r>
      <w:r>
        <w:rPr>
          <w:rStyle w:val="Нет"/>
          <w:rtl w:val="0"/>
          <w:lang w:val="ru-RU"/>
        </w:rPr>
        <w:t>Ф</w:t>
      </w:r>
      <w:r>
        <w:rPr>
          <w:rStyle w:val="Нет"/>
          <w:rtl w:val="0"/>
          <w:lang w:val="ru-RU"/>
        </w:rPr>
        <w:t>.</w:t>
      </w:r>
      <w:r>
        <w:rPr>
          <w:rStyle w:val="Нет"/>
          <w:rtl w:val="0"/>
          <w:lang w:val="ru-RU"/>
        </w:rPr>
        <w:t>И</w:t>
      </w:r>
      <w:r>
        <w:rPr>
          <w:rStyle w:val="Нет"/>
          <w:rtl w:val="0"/>
          <w:lang w:val="ru-RU"/>
        </w:rPr>
        <w:t>.</w:t>
      </w:r>
      <w:r>
        <w:rPr>
          <w:rStyle w:val="Нет"/>
          <w:rtl w:val="0"/>
          <w:lang w:val="ru-RU"/>
        </w:rPr>
        <w:t>О</w:t>
      </w:r>
      <w:r>
        <w:rPr>
          <w:rStyle w:val="Нет"/>
          <w:rtl w:val="0"/>
          <w:lang w:val="ru-RU"/>
        </w:rPr>
        <w:t>)</w:t>
      </w: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 xml:space="preserve">                                                                   (</w:t>
      </w:r>
      <w:r>
        <w:rPr>
          <w:rStyle w:val="Нет"/>
          <w:rtl w:val="0"/>
          <w:lang w:val="ru-RU"/>
        </w:rPr>
        <w:t>подпись</w:t>
      </w:r>
      <w:r>
        <w:rPr>
          <w:rStyle w:val="Нет"/>
          <w:rtl w:val="0"/>
          <w:lang w:val="ru-RU"/>
        </w:rPr>
        <w:t>)</w:t>
      </w:r>
    </w:p>
    <w:p>
      <w:pPr>
        <w:pStyle w:val="Normal.0"/>
        <w:ind w:firstLine="0"/>
        <w:jc w:val="right"/>
      </w:pPr>
      <w:r>
        <w:rPr>
          <w:rStyle w:val="Нет"/>
          <w:rtl w:val="0"/>
          <w:lang w:val="ru-RU"/>
        </w:rPr>
        <w:t xml:space="preserve"> «</w:t>
      </w:r>
      <w:r>
        <w:rPr>
          <w:rStyle w:val="Нет"/>
          <w:rtl w:val="0"/>
          <w:lang w:val="ru-RU"/>
        </w:rPr>
        <w:t>_</w:t>
      </w:r>
      <w:r>
        <w:rPr>
          <w:rStyle w:val="Нет"/>
          <w:rtl w:val="0"/>
          <w:lang w:val="ru-RU"/>
        </w:rPr>
        <w:t xml:space="preserve">» </w:t>
      </w:r>
      <w:r>
        <w:rPr>
          <w:rStyle w:val="Нет"/>
          <w:rtl w:val="0"/>
          <w:lang w:val="ru-RU"/>
        </w:rPr>
        <w:t xml:space="preserve">________________ 20__ </w:t>
      </w:r>
      <w:r>
        <w:rPr>
          <w:rStyle w:val="Нет"/>
          <w:rtl w:val="0"/>
          <w:lang w:val="ru-RU"/>
        </w:rPr>
        <w:t>г</w:t>
      </w:r>
      <w:r>
        <w:rPr>
          <w:rStyle w:val="Нет"/>
          <w:rtl w:val="0"/>
          <w:lang w:val="ru-RU"/>
        </w:rPr>
        <w:t xml:space="preserve">. </w:t>
      </w: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 xml:space="preserve">                                                                                            (</w:t>
      </w:r>
      <w:r>
        <w:rPr>
          <w:rStyle w:val="Нет"/>
          <w:rtl w:val="0"/>
          <w:lang w:val="ru-RU"/>
        </w:rPr>
        <w:t>м</w:t>
      </w:r>
      <w:r>
        <w:rPr>
          <w:rStyle w:val="Нет"/>
          <w:rtl w:val="0"/>
          <w:lang w:val="ru-RU"/>
        </w:rPr>
        <w:t>.</w:t>
      </w:r>
      <w:r>
        <w:rPr>
          <w:rStyle w:val="Нет"/>
          <w:rtl w:val="0"/>
          <w:lang w:val="ru-RU"/>
        </w:rPr>
        <w:t>п</w:t>
      </w:r>
      <w:r>
        <w:rPr>
          <w:rStyle w:val="Нет"/>
          <w:rtl w:val="0"/>
          <w:lang w:val="ru-RU"/>
        </w:rPr>
        <w:t>.)</w:t>
      </w:r>
    </w:p>
    <w:p>
      <w:pPr>
        <w:pStyle w:val="Normal.0"/>
        <w:ind w:firstLine="0"/>
        <w:jc w:val="right"/>
      </w:pPr>
    </w:p>
    <w:p>
      <w:pPr>
        <w:pStyle w:val="Normal.0"/>
        <w:ind w:firstLine="0"/>
        <w:jc w:val="right"/>
      </w:pPr>
    </w:p>
    <w:p>
      <w:pPr>
        <w:pStyle w:val="Normal.0"/>
        <w:spacing w:after="100"/>
        <w:ind w:firstLine="0"/>
        <w:jc w:val="center"/>
      </w:pPr>
      <w:r>
        <w:rPr>
          <w:rStyle w:val="Нет"/>
          <w:rtl w:val="0"/>
          <w:lang w:val="ru-RU"/>
        </w:rPr>
        <w:t>ОТЧЕТ</w:t>
      </w: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>о прохождении преддипломной практики</w:t>
      </w: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 xml:space="preserve">по специальности </w:t>
      </w:r>
      <w:r>
        <w:rPr>
          <w:rStyle w:val="Нет"/>
          <w:rtl w:val="0"/>
          <w:lang w:val="ru-RU"/>
        </w:rPr>
        <w:t xml:space="preserve">1-25 01 12 </w:t>
      </w:r>
      <w:r>
        <w:rPr>
          <w:rStyle w:val="Нет"/>
          <w:rtl w:val="0"/>
          <w:lang w:val="ru-RU"/>
        </w:rPr>
        <w:t>«Экономическая информатика»</w:t>
      </w: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>Кафедра экономической информатики</w:t>
      </w:r>
    </w:p>
    <w:p>
      <w:pPr>
        <w:pStyle w:val="Normal.0"/>
        <w:ind w:firstLine="0"/>
      </w:pPr>
    </w:p>
    <w:p>
      <w:pPr>
        <w:pStyle w:val="Normal.0"/>
        <w:ind w:firstLine="0"/>
      </w:pPr>
    </w:p>
    <w:tbl>
      <w:tblPr>
        <w:tblW w:w="963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5006"/>
        <w:gridCol w:w="1931"/>
        <w:gridCol w:w="2695"/>
      </w:tblGrid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Студент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ФЦЭ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, 4-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й курс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, 22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ДЦИ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-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2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en-US"/>
              </w:rPr>
              <w:t>____________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Майзет А</w:t>
            </w:r>
            <w:r>
              <w:rPr>
                <w:rStyle w:val="Нет"/>
                <w:shd w:val="nil" w:color="auto" w:fill="auto"/>
                <w:rtl w:val="0"/>
                <w:lang w:val="en-US"/>
              </w:rPr>
              <w:t>.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В</w:t>
            </w:r>
            <w:r>
              <w:rPr>
                <w:rStyle w:val="Нет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  <w:jc w:val="center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(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подпись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Руководитель практики от кафедры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</w:rPr>
              <w:t>канд</w:t>
            </w:r>
            <w:r>
              <w:rPr>
                <w:rStyle w:val="Нет"/>
                <w:shd w:val="nil" w:color="auto" w:fill="auto"/>
                <w:rtl w:val="0"/>
              </w:rPr>
              <w:t xml:space="preserve">. </w:t>
            </w:r>
            <w:r>
              <w:rPr>
                <w:rStyle w:val="Нет"/>
                <w:shd w:val="nil" w:color="auto" w:fill="auto"/>
                <w:rtl w:val="0"/>
              </w:rPr>
              <w:t>техн</w:t>
            </w:r>
            <w:r>
              <w:rPr>
                <w:rStyle w:val="Нет"/>
                <w:shd w:val="nil" w:color="auto" w:fill="auto"/>
                <w:rtl w:val="0"/>
              </w:rPr>
              <w:t xml:space="preserve">. 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наук</w:t>
            </w:r>
            <w:r>
              <w:rPr>
                <w:rStyle w:val="Нет"/>
                <w:shd w:val="nil" w:color="auto" w:fill="auto"/>
                <w:rtl w:val="0"/>
              </w:rPr>
              <w:t xml:space="preserve">, </w:t>
            </w:r>
            <w:r>
              <w:rPr>
                <w:rStyle w:val="Нет"/>
                <w:shd w:val="nil" w:color="auto" w:fill="auto"/>
                <w:rtl w:val="0"/>
              </w:rPr>
              <w:t>доцент</w:t>
            </w:r>
            <w:r>
              <w:rPr>
                <w:rStyle w:val="Нет"/>
                <w:shd w:val="nil" w:color="auto" w:fill="auto"/>
                <w:rtl w:val="0"/>
              </w:rPr>
              <w:t>,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  <w:jc w:val="center"/>
            </w:pPr>
            <w:r>
              <w:rPr>
                <w:rStyle w:val="Нет"/>
                <w:shd w:val="nil" w:color="auto" w:fill="auto"/>
                <w:rtl w:val="0"/>
                <w:lang w:val="en-US"/>
              </w:rPr>
              <w:t>____________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Серебряная Л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.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В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tl w:val="0"/>
                <w:lang w:val="ru-RU"/>
              </w:rPr>
              <w:t>Заведующая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 xml:space="preserve"> кафедры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  <w:jc w:val="center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(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подпись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Руководитель практики от организации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en-US"/>
              </w:rPr>
              <w:t>____________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Fonts w:ascii="Times New Roman" w:hAnsi="Times New Roman" w:hint="default"/>
                <w:rtl w:val="0"/>
              </w:rPr>
              <w:t>Бич В</w:t>
            </w:r>
            <w:r>
              <w:rPr>
                <w:rFonts w:ascii="Times New Roman" w:hAnsi="Times New Roman"/>
                <w:rtl w:val="0"/>
              </w:rPr>
              <w:t>.</w:t>
            </w:r>
            <w:r>
              <w:rPr>
                <w:rFonts w:ascii="Times New Roman" w:hAnsi="Times New Roman" w:hint="default"/>
                <w:rtl w:val="0"/>
              </w:rPr>
              <w:t>Н</w:t>
            </w:r>
            <w:r>
              <w:rPr>
                <w:rFonts w:ascii="Times New Roman" w:hAnsi="Times New Roman"/>
                <w:rtl w:val="0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ОАО «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АСБ Беларусбанк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»</w:t>
            </w:r>
          </w:p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firstLine="0"/>
              <w:jc w:val="center"/>
            </w:pPr>
            <w:r>
              <w:rPr>
                <w:rStyle w:val="Нет"/>
                <w:shd w:val="nil" w:color="auto" w:fill="auto"/>
                <w:rtl w:val="0"/>
                <w:lang w:val="ru-RU"/>
              </w:rPr>
              <w:t>(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подпись</w:t>
            </w:r>
            <w:r>
              <w:rPr>
                <w:rStyle w:val="Нет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28" w:hRule="atLeast"/>
        </w:trPr>
        <w:tc>
          <w:tcPr>
            <w:tcW w:type="dxa" w:w="500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93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9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Normal.0"/>
        <w:widowControl w:val="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</w:pPr>
    </w:p>
    <w:p>
      <w:pPr>
        <w:pStyle w:val="Normal.0"/>
        <w:ind w:firstLine="0"/>
        <w:jc w:val="center"/>
      </w:pPr>
      <w:r>
        <w:rPr>
          <w:rStyle w:val="Нет"/>
          <w:rtl w:val="0"/>
          <w:lang w:val="ru-RU"/>
        </w:rPr>
        <w:t>2026</w:t>
      </w:r>
    </w:p>
    <w:p>
      <w:pPr>
        <w:pStyle w:val="Normal.0"/>
        <w:ind w:firstLine="0"/>
        <w:jc w:val="center"/>
        <w:rPr>
          <w:rStyle w:val="Нет"/>
          <w:b w:val="1"/>
          <w:bCs w:val="1"/>
          <w:sz w:val="32"/>
          <w:szCs w:val="32"/>
        </w:rPr>
      </w:pPr>
      <w:r>
        <w:rPr>
          <w:rStyle w:val="Нет"/>
          <w:b w:val="1"/>
          <w:bCs w:val="1"/>
          <w:sz w:val="32"/>
          <w:szCs w:val="32"/>
          <w:rtl w:val="0"/>
          <w:lang w:val="ru-RU"/>
        </w:rPr>
        <w:t>СОДЕРЖАНИЕ</w:t>
      </w:r>
    </w:p>
    <w:p>
      <w:pPr>
        <w:pStyle w:val="Normal.0"/>
        <w:spacing w:after="100"/>
      </w:pPr>
      <w:r>
        <w:rPr>
          <w:rStyle w:val="Нет"/>
          <w:b w:val="1"/>
          <w:bCs w:val="1"/>
          <w:sz w:val="32"/>
          <w:szCs w:val="32"/>
        </w:rPr>
        <w:fldChar w:fldCharType="begin" w:fldLock="0"/>
      </w:r>
      <w:r>
        <w:rPr>
          <w:rStyle w:val="Нет"/>
          <w:b w:val="1"/>
          <w:bCs w:val="1"/>
          <w:sz w:val="32"/>
          <w:szCs w:val="32"/>
        </w:rPr>
        <w:instrText xml:space="preserve"> TOC \t "heading 1, 1,Подглавы, 2"</w:instrText>
      </w:r>
      <w:r>
        <w:rPr>
          <w:rStyle w:val="Нет"/>
          <w:b w:val="1"/>
          <w:bCs w:val="1"/>
          <w:sz w:val="32"/>
          <w:szCs w:val="32"/>
        </w:rPr>
        <w:fldChar w:fldCharType="separate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ВВЕДЕНИЕ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1. Организационно-экономическая характеристика организации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1.1 Общие сведения об организации как субъекте хозяйствования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1.2 Характеристика организационной структуры управления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1.3 Результаты финансово-хозяйственной деятельности организации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2. Управление информационными технологиями и информационными системами в организации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2.1 Характеристика информационной инфраструктуры организации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2.2 Анализ методических материалов и стандартов в области информационных технологий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2.3 Используемые информационные технологии, классы информационных систем и задачи, решаемые с их помощью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2.4 Анализ применяемых подходов к проектированию, разработке, тестированию, внедрению и сопровождению ИС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2.5 Практика управления ИТ-проектами в ОАО «АСБ Беларусбанк» и проведения аудита ИТ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3. Повышение эффективности используемых информационных технологий и систем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3.1 Характеристика стратегического планирования развития ИТ в соответствии с бизнес-целями организации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3.2 Предложения по совершенствованию ИТ-архитектуры организации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4. Отчёт о выполнении индивидуального задания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4.1 Проведение анализа и моделирования бизнес-процессов организацииы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4.2 Выявление направления совершенствования бизнес-процессов организации ОАО «АСБ Беларусбанк»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4.3 Разработка предложений по совершенствованию бизнес-процессов с применением ИТ и ИС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4.4 Составление технического задания на разработку и модернизацию ИС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34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ЗАКЛЮЧЕНИЕ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СПИСОК ИСПОЛЬЗОВАННЫХ ИСТОЧНИКОВ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spacing w:after="100"/>
      </w:pPr>
      <w:r>
        <w:rPr>
          <w:rStyle w:val="Нет"/>
          <w:b w:val="1"/>
          <w:bCs w:val="1"/>
          <w:sz w:val="32"/>
          <w:szCs w:val="32"/>
        </w:rPr>
        <w:fldChar w:fldCharType="end" w:fldLock="0"/>
      </w: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" w:id="0"/>
      <w:r>
        <w:rPr>
          <w:rStyle w:val="Нет"/>
          <w:rFonts w:cs="Arial Unicode MS" w:eastAsia="Arial Unicode MS" w:hint="default"/>
          <w:rtl w:val="0"/>
          <w:lang w:val="ru-RU"/>
        </w:rPr>
        <w:t>ВВЕДЕНИЕ</w:t>
      </w:r>
      <w:bookmarkEnd w:id="0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Преддипломная практика была пройдена в Открытом акционерном обществе «АСБ Беларусбанк» — крупнейшем универсальном коммерческом банке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занимает лидирующие позиции в национальной банковской системе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являясь системообразующим финансовым институтом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стабильно удерживает первое место по объему собственного капитала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величине активов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кредитному портфелю и количеству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выполняя ключевую роль в реализации государственных экономических программ и обеспечении устойчивости финансово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кредитной системы республики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Современный рынок банковских услуг характеризуется высокой степенью динамичности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усиливающейся конкуренцией и стремительным развитием цифровых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условиях цифровой трансформации особое значение приобретает качество и бесперебойность работы дистанционных каналов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как они становятся основным интерфейсом взаимодействия с клиентом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Активное использование современных веб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мобильных платформ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искусственного интеллекта и систем аналитики данных является критически важным для сохранения лидерских позиций и удовлетворения растущих потребностей пользователей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Непосредственным местом прохождения преддипломной практики стал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 Управления развития и поддержки собственных электронных информационных ресурсов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практика проходила в должности инженера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программиста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Цель практики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закрепление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углубление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практическое применение знаний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умений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навыков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полученных студентами во время обучения в университете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а также формирование профессиональных компетенций в области бизнес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анализа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разработки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внедрения и сопровождения информационных систем </w:t>
      </w:r>
      <w:r>
        <w:rPr>
          <w:rStyle w:val="Нет"/>
          <w:rtl w:val="0"/>
          <w:lang w:val="ru-RU"/>
        </w:rPr>
        <w:t>(</w:t>
      </w:r>
      <w:r>
        <w:rPr>
          <w:rStyle w:val="Нет"/>
          <w:rtl w:val="0"/>
          <w:lang w:val="ru-RU"/>
        </w:rPr>
        <w:t xml:space="preserve">далее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ИС</w:t>
      </w:r>
      <w:r>
        <w:rPr>
          <w:rStyle w:val="Нет"/>
          <w:rtl w:val="0"/>
          <w:lang w:val="ru-RU"/>
        </w:rPr>
        <w:t xml:space="preserve">), </w:t>
      </w:r>
      <w:r>
        <w:rPr>
          <w:rStyle w:val="Нет"/>
          <w:rtl w:val="0"/>
          <w:lang w:val="ru-RU"/>
        </w:rPr>
        <w:t>тестирования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аудита информационных технологий </w:t>
      </w:r>
      <w:r>
        <w:rPr>
          <w:rStyle w:val="Нет"/>
          <w:rtl w:val="0"/>
          <w:lang w:val="ru-RU"/>
        </w:rPr>
        <w:t>(</w:t>
      </w:r>
      <w:r>
        <w:rPr>
          <w:rStyle w:val="Нет"/>
          <w:rtl w:val="0"/>
          <w:lang w:val="ru-RU"/>
        </w:rPr>
        <w:t xml:space="preserve">далее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ИТ</w:t>
      </w:r>
      <w:r>
        <w:rPr>
          <w:rStyle w:val="Нет"/>
          <w:rtl w:val="0"/>
          <w:lang w:val="ru-RU"/>
        </w:rPr>
        <w:t>).</w:t>
      </w:r>
    </w:p>
    <w:p>
      <w:pPr>
        <w:pStyle w:val="Normal.0"/>
      </w:pPr>
      <w:r>
        <w:rPr>
          <w:rStyle w:val="Нет"/>
          <w:rtl w:val="0"/>
          <w:lang w:val="ru-RU"/>
        </w:rPr>
        <w:t>Практика направлена на решение следующих задач</w:t>
      </w:r>
      <w:r>
        <w:rPr>
          <w:rStyle w:val="Нет"/>
          <w:rtl w:val="0"/>
          <w:lang w:val="ru-RU"/>
        </w:rPr>
        <w:t>: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освоение и закрепление знаний и умений студентов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полученных в процессе обучения в университете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проверка возможностей будущего специалиста в условиях конкретного производства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разработка предложений по совершенствованию бизнес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процессов организации с использованием информационных технологий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участие в формировании стратегии построения и развития архитектуры информационных технологий в соответствии с бизнес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целями организации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составление технических заданий на разработку программного обеспечения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оформление проектной документации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проработка методов принятия проектных решений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обеспечение взаимодействия исполнителей ИТ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проектов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>ведение договорной работы с заказчиками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проработка методик оценки экономической эффективности интегрированных информационных технологий и систем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овладение навыками проведения аудита информационных технологий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использование лучших мировых практик в области управления информационными технологиями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приобретение навыков самостоятельной аналитической и организационно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управленческой деятельности в сфере информационных технологий</w:t>
      </w:r>
      <w:r>
        <w:rPr>
          <w:rStyle w:val="Нет"/>
          <w:rtl w:val="0"/>
          <w:lang w:val="ru-RU"/>
        </w:rPr>
        <w:t>;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подготовка материалов для написания дипломной работы</w:t>
      </w:r>
      <w:r>
        <w:rPr>
          <w:rStyle w:val="Нет"/>
          <w:rtl w:val="0"/>
          <w:lang w:val="ru-RU"/>
        </w:rPr>
        <w:t>.</w:t>
      </w:r>
    </w:p>
    <w:p>
      <w:pPr>
        <w:pStyle w:val="Normal.0"/>
      </w:pP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1" w:id="1"/>
      <w:r>
        <w:rPr>
          <w:rStyle w:val="Нет"/>
          <w:rFonts w:cs="Arial Unicode MS" w:eastAsia="Arial Unicode MS"/>
          <w:rtl w:val="0"/>
          <w:lang w:val="ru-RU"/>
        </w:rPr>
        <w:t xml:space="preserve">1. </w:t>
      </w:r>
      <w:r>
        <w:rPr>
          <w:rStyle w:val="Нет"/>
          <w:rFonts w:cs="Arial Unicode MS" w:eastAsia="Arial Unicode MS" w:hint="default"/>
          <w:rtl w:val="0"/>
          <w:lang w:val="ru-RU"/>
        </w:rPr>
        <w:t>Организационно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экономическая характеристика организации</w:t>
      </w:r>
      <w:bookmarkEnd w:id="1"/>
    </w:p>
    <w:p>
      <w:pPr>
        <w:pStyle w:val="Подглавы"/>
      </w:pPr>
      <w:bookmarkStart w:name="_Toc2" w:id="2"/>
      <w:r>
        <w:rPr>
          <w:rStyle w:val="Нет"/>
          <w:rFonts w:cs="Arial Unicode MS" w:eastAsia="Arial Unicode MS"/>
          <w:rtl w:val="0"/>
          <w:lang w:val="ru-RU"/>
        </w:rPr>
        <w:t xml:space="preserve">1.1 </w:t>
      </w:r>
      <w:r>
        <w:rPr>
          <w:rStyle w:val="Нет"/>
          <w:rFonts w:cs="Arial Unicode MS" w:eastAsia="Arial Unicode MS" w:hint="default"/>
          <w:rtl w:val="0"/>
          <w:lang w:val="ru-RU"/>
        </w:rPr>
        <w:t>Общие сведения об организации как субъекте хозяйствования</w:t>
      </w:r>
      <w:bookmarkEnd w:id="2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Открытое акционерное общество «АСБ Беларусбанк»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далее – Банк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коммерческой организацией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зарегистрированной в Национальном банке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входит в банковскую систему Республики Беларусь и в своей деятельности руководствуется законодательными актами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нормативными правовыми актами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том числе нормативными правовыми актами Национального банка Республики Беларусь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далее – законодательство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настоящим Уставом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Основными целями деятельности Банка являются развитие финансовых отношений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стимулирование привлечения инвестиций в экономику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участие в кредитовании реального сектора экономики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перспективных проектов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направленных на создание новых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реконструкцию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модернизацию и расширение действующих производств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удовлетворение потребностей населения в получении кредитов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размещении вкладов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депозитов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получение прибыли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является безусловным лидером банковской системы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занимая первое место по размеру активов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нормативному капиталу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кредитному портфелю и объему привлеченных средств населения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Головной офис ОАО «АСБ Беларусбанк» находится по адресу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220036,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Республика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Минск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пр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 Дзержинского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18.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Руководителем Банка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Председателем 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Ананич Виктор Михайлович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выступает системообразующим финансовым институтом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уполномоченным на обслуживание государственных программ и крупных инвестиционных проектов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Высшее руководство Банка декларирует политику в области качества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определяющую общие намерения и направления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направленные на удовлетворение требований и ожиданий потребителей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внедрение современных стандартов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методологию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ISO.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Миссия Банка отражает его социальную значимость и ориентированность на потребности общества и государства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стремится обеспечивать финансовую стабильность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надежность и доступность банковских услуг для всех категорий граждан и субъектов хозяйствования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Ключевая роль Банка в экономике страны определяет его стратегические цели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поддержка реального сектора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развитие инновационных финансовых технологий и повышение качества жизни населения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Ключевыми ценностями деятельности компании являются надежность и ответственность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ориентация на клиента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профессионализм и развитие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инновационность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Надежность и ответственность означают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Банк гарантирует сохранность средств клиентов и несет ответственность за выполнение взятых на себя обязательств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выступая опорой финансовой системы государства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Ориентация на клиента предполагает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деятельность Банка строится вокруг потребностей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обеспечивая индивидуальный подход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качественный сервис и постоянное совершенствование продуктов и 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Профессионализм и развитие выражаются в 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сотрудники Банка являются главным капиталом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создание условий для профессионального роста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поддержка инициатив и работа в единой команде позволяют достигать поставленных целей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Инновационность проявляется в активном внедрении передовых цифровых технологий и современных банковских решений для обеспечения удобства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скорости и безопасности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ведется своевременно публикуемая в соответствии с требованиями законодательства финансовая отчетность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является основополагающим условием повышения инвестиционной привлекательности и финансовой стабильности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роста доверия клиентов и совершенствования качества корпоративного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обеспечивает прозрачность своей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публикуя годовую индивидуальную бухгалтерскую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финансовую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отчетность по НСФО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промежуточную индивидуальную бухгалтерскую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финансовую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отчетность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годовую консолидированную бухгалтерскую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финансовую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отчетность по НСФО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промежуточную консолидированную бухгалтерскую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финансовую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отчетность по НСФО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финансовую отчетность по МСФО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Составляющие работы и услуги ОАО «АСБ Беларусбанк» включают профессиональную деятельность на рынке ценных бумаг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именно брокерскую деятельность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депозитарную деятельность и деятельность по доверительному управлению ценными бумагами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 универсальный коммерческий банк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вправе осуществлять широкий спектр банковских операций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привлечение денежных средств физических и юридических лиц на счета и во вклады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депозиты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 xml:space="preserve">);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размещение привлеченных денежных средств от своего имени и за свой счет на условиях возвратности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платности и срочности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кредитование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 xml:space="preserve">);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открытие и ведение банковских счетов физических и юридических лиц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открытие и ведение счетов в драгоценных металлах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осуществление расчетного и банковского кассового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валютно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обменные операции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куплю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продажу драгоценных металлов и драгоценных камней в случаях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предусмотренных Национальным банком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привлечение и размещение драгоценных металлов во вклады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депозиты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 xml:space="preserve">);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выдачу банковских гарантий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доверительное управление денежными средствами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эмиссию банковских платежных карточек и иных платежных инструментов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выдачу ценных бумаг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подтверждающих привлечение денежных средств во вклады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депозиты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 xml:space="preserve">);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предоставление физическим и юридическим лицам специальных помещений или сейфов для банковского хранения документов и ценностей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депозитарные ячейки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расчетные операции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ОАО «АСБ Беларусбанк» уделяет значительное внимание вопросам устойчивого развития 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ESG-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трансформации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является неотъемлемым условием долгосрочной конкурентоспособности и реализации стратегии социально ответственного бизнеса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стремится к лидерству в области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 xml:space="preserve">ESG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Беларуси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интегрируя принципы ответственного финансирования и устойчивого развития во все аспекты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Основными направлениями работы Банка в области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 xml:space="preserve">ESG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устойчивого развития являются окружающая среда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социальная ответственность и управление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области окружающей среды Банк реализует политику рационального использования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снижения собственного углеродного следа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развития «зеленого» финансирования и поддержки экологических инициатив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этом активная цифровизация процессов способствует сокращению потребления бумаги и энергии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Социальная ответственность Банка выражается в обеспечении инклюзивной среды для клиентов и сотрудников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поддержке гендерного равенства и многообразия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реализации программ повышения финансовой грамотности населения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занятиях благотворительностью и волонтерской деятельностью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делает его одним из крупнейших социально ориентированных предприятий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сфере управления в Банке выстроена эффективная система корпоративного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Наблюдательный совет и Правление курируют вопросы устойчивого развития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действует рабочая группа по внедрению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ESG-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принципов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строго соблюдается антикоррупционное законодательство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обеспечивается защита данных клиентов и внедряются практики ответственного кредитования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является лидером цифровой трансформации банковского сектора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активно разрабатывает и внедряет современные информационные технологии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системы искусственного интеллекта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), big data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роботизацию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Основными принципами использования ИИ в Банке являются контролируемость и управляемость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прозрачность и предсказуемость их функционирования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стабильность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надежность и непредвзятость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обеспечивает доверие со стороны клиентов и регулятора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 свои достижения ОАО «АСБ Беларусбанк» неоднократно отмечался престижными наградами и премиями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признавался «Банком года» по версии авторитетных финансовых изданий и экспертных сообществ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том числе журнала «Дело»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лауреатом конкурса «Лидеры цифровой экономики» в номинациях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связанных с развитием банковских технологий и цифровых сервисов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стабильно входит в число лидеров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ESG-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рэнкинга белорусских компаний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подтверждая высокий уровень корпоративной ответственности и устойчивого развития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удостоен наград в области качества и клиентского сервиса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премию «Бренд года»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рамках данного раздела была рассмотрена общая характеристика ОАО «АСБ Беларусбанк» как системообразующей коммерческой банковской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функционирующей в соответствии с законодательством Республики Беларусь и занимающей лидирующее место в национальной банковской системе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Проанализированы цели и направления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его организационно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правовой статус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перечень осуществляемых банковских операций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его ключевая роль в кредитовании реального сектора экономики и удовлетворении финансовых потребностей населения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Установлено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ОАО «АСБ Беларусбанк» является универсальным банком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сочетающим классические банковские функции с активным развитием современных финансовых 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Кроме того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разделе отражены стратегические ориентиры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миссию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корпоративные ценности и приоритеты устойчивого развития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Особое внимание уделено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ESG-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трансформации и внедрению цифровых и интеллектуальных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свидетельствует о долгосрочной направленности стратегии Банка и его стремлении к повышению конкурентоспособности и устойчивости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Высокие позиции в рейтингах и наличие отраслевых наград подтверждают эффективность реализуемой модели развития и значимость ОАО «АСБ Беларусбанк» для финансовой системы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</w:p>
    <w:p>
      <w:pPr>
        <w:pStyle w:val="List Paragraph"/>
        <w:ind w:left="0" w:firstLine="709"/>
        <w:rPr>
          <w:rStyle w:val="Нет"/>
          <w:outline w:val="0"/>
          <w:color w:val="262626"/>
          <w:spacing w:val="0"/>
          <w:u w:color="262626"/>
          <w:shd w:val="clear" w:color="auto" w:fill="ffffff"/>
          <w14:textFill>
            <w14:solidFill>
              <w14:srgbClr w14:val="262626"/>
            </w14:solidFill>
          </w14:textFill>
        </w:rPr>
      </w:pPr>
    </w:p>
    <w:p>
      <w:pPr>
        <w:pStyle w:val="Подглавы"/>
      </w:pPr>
      <w:bookmarkStart w:name="_Toc3" w:id="3"/>
      <w:r>
        <w:rPr>
          <w:rStyle w:val="Нет"/>
          <w:rFonts w:cs="Arial Unicode MS" w:eastAsia="Arial Unicode MS"/>
          <w:rtl w:val="0"/>
          <w:lang w:val="ru-RU"/>
        </w:rPr>
        <w:t xml:space="preserve">1.2 </w:t>
      </w:r>
      <w:r>
        <w:rPr>
          <w:rStyle w:val="Нет"/>
          <w:rFonts w:cs="Arial Unicode MS" w:eastAsia="Arial Unicode MS" w:hint="default"/>
          <w:rtl w:val="0"/>
          <w:lang w:val="ru-RU"/>
        </w:rPr>
        <w:t>Характеристика организационной структуры управления</w:t>
      </w:r>
      <w:bookmarkEnd w:id="3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Организационная структура ОАО «АСБ Беларусбанк» является 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функциональной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функциональная организационная структура представляет собой форму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основанную на сочетании принципа единоначалия и функциональной специализации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рамках данной структуры линейные руководители наделены полномочиями по принятию управленческих решений и несут ответственность за результаты деятельности подчинённых подразделений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тогда как функциональные службы выполняют консультативные и методические функции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разрабатывая нормативы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планы и рекомендации в пределах своей компетенции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осуществляя прямого административного воздействия на исполнителей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Данная структура обеспечивает чёткое разграничение полномочий и ответственности между уровнями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котором все управленческие воздействия на сотрудников осуществляются через линейных руководителей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способствует сохранению целостности управления и предотвращению дублирования распоряжений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Применение 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функциональной структуры позволяет упорядочивать управленческие процессы в организации и повышать уровень стабильности функционирования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однако её относительная жёсткость может ограничивать гибкость и скорость реакции на изменения внешней среды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Организационная структура управления холдинга ОАО «АСБ Беларусбанк» представлена на рисунке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1.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753348</wp:posOffset>
            </wp:positionH>
            <wp:positionV relativeFrom="line">
              <wp:posOffset>216773</wp:posOffset>
            </wp:positionV>
            <wp:extent cx="4921875" cy="2914897"/>
            <wp:effectExtent l="0" t="0" r="0" b="0"/>
            <wp:wrapThrough wrapText="bothSides" distL="152400" distR="152400">
              <wp:wrapPolygon edited="1">
                <wp:start x="0" y="0"/>
                <wp:lineTo x="0" y="21601"/>
                <wp:lineTo x="21601" y="21601"/>
                <wp:lineTo x="21601" y="0"/>
                <wp:lineTo x="0" y="0"/>
              </wp:wrapPolygon>
            </wp:wrapThrough>
            <wp:docPr id="1073741825" name="officeArt object" descr="Снимок экрана 2026-03-09 в 22.30.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Снимок экрана 2026-03-09 в 22.30.39.png" descr="Снимок экрана 2026-03-09 в 22.30.39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21875" cy="29148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</w:p>
    <w:p>
      <w:pPr>
        <w:pStyle w:val="Normal.0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  <w:rPr>
          <w:rStyle w:val="Нет"/>
          <w:b w:val="1"/>
          <w:bCs w:val="1"/>
          <w:sz w:val="24"/>
          <w:szCs w:val="24"/>
        </w:rPr>
      </w:pPr>
      <w:r>
        <w:rPr>
          <w:rStyle w:val="Нет"/>
          <w:b w:val="1"/>
          <w:bCs w:val="1"/>
          <w:sz w:val="24"/>
          <w:szCs w:val="24"/>
          <w:rtl w:val="0"/>
          <w:lang w:val="ru-RU"/>
        </w:rPr>
        <w:t xml:space="preserve">Рисунок </w:t>
      </w:r>
      <w:r>
        <w:rPr>
          <w:rStyle w:val="Нет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т"/>
          <w:b w:val="1"/>
          <w:bCs w:val="1"/>
          <w:sz w:val="24"/>
          <w:szCs w:val="24"/>
          <w:rtl w:val="0"/>
          <w:lang w:val="ru-RU"/>
        </w:rPr>
        <w:t>– организационная структура холдинга ОАО «Сбер Банка»</w:t>
      </w:r>
    </w:p>
    <w:p>
      <w:pPr>
        <w:pStyle w:val="Normal.0"/>
        <w:ind w:firstLine="0"/>
        <w:jc w:val="center"/>
        <w:rPr>
          <w:rStyle w:val="Нет"/>
          <w:sz w:val="22"/>
          <w:szCs w:val="22"/>
        </w:rPr>
      </w:pPr>
      <w:r>
        <w:rPr>
          <w:rStyle w:val="Нет"/>
          <w:sz w:val="22"/>
          <w:szCs w:val="22"/>
          <w:rtl w:val="0"/>
          <w:lang w:val="ru-RU"/>
        </w:rPr>
        <w:t>Примечание – Источник</w:t>
      </w:r>
      <w:r>
        <w:rPr>
          <w:rStyle w:val="Нет"/>
          <w:sz w:val="22"/>
          <w:szCs w:val="22"/>
          <w:rtl w:val="0"/>
          <w:lang w:val="ru-RU"/>
        </w:rPr>
        <w:t xml:space="preserve">: </w:t>
      </w:r>
      <w:r>
        <w:rPr>
          <w:rStyle w:val="Нет"/>
          <w:sz w:val="22"/>
          <w:szCs w:val="22"/>
          <w:rtl w:val="0"/>
          <w:lang w:val="ru-RU"/>
        </w:rPr>
        <w:t>собственная разработка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2"/>
          <w:szCs w:val="22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Во главе холдинга стоит ОАО «АСБ Беларусбанк» — крупнейший банк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контрольный пакет акций которого принадлежит государству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Основным видом деятельности ОАО «АСБ Беларусбанк» является деятельность универсального коммерческого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подчинении Банка находятся дочерние и зависимые общества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осуществляют деятельность в различных сферах финансового рынка и смежных областях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обеспечивая комплексное обслуживание клиентов и расширение присутствия банка в экономике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Опишем подробнее виды деятельности организаций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входящих в холдинг ОАО «АСБ Беларусбанк»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ЗАО «Белкарт» — деятельность в области платежных систем и процессинга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«НКФО ЕРИП» — развитие и сопровождение Единого расчетного и информационного пространства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ЗАО «Банковско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финансовая сетевая компания»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БФСК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— деятельность в области информационных технологий и телекоммуникаций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ООО «АСБ Лизинг» — предоставление лизинговых 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ООО «АСБ Консалт» — консультационные услуги в сфере бизнеса и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используется процессный подход в управлении организацией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Управление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процессами или процессный подход на сегодняшний день является одной из наиболее востребованных и часто применяемых методологий управления компаниями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Управленческая концепция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BPM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от англ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. Business Process Management)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рассматривает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как важные ресурсы предприятия и предполагает управление ими как одну из ключевых организационных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Концепция предполагает внедрение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BPM-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решений для повышения эффективности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Сокращение времени их выполнения достигается за счёт регламентации и автоматизации этапов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повышение качества — благодаря прозрачности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соблюдению установленных правил и использованию средств мониторинга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осуществляется на основе системы процессных показателей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отражающих затраты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продолжительность и загрузку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позволяет проводить анализ и оптимизацию на основе фактических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Внедрение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BPM-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решения также обеспечивает повышение гибкости организации за счёт вовлечения участников в моделирование и совершенствование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  <w:rPr>
          <w:rStyle w:val="Нет"/>
        </w:rPr>
      </w:pPr>
      <w:r>
        <w:rPr>
          <w:rStyle w:val="Нет"/>
          <w:rtl w:val="0"/>
          <w:lang w:val="ru-RU"/>
        </w:rPr>
        <w:t>Теперь опишем организационную структуру внутри самого ОАО «АСБ Беларусбанк» вплоть до сотрудников отдела на примере Контакт</w:t>
      </w:r>
      <w:r>
        <w:rPr>
          <w:rStyle w:val="Нет"/>
          <w:rtl w:val="0"/>
          <w:lang w:val="ru-RU"/>
        </w:rPr>
        <w:t>-</w:t>
      </w:r>
      <w:r>
        <w:rPr>
          <w:rStyle w:val="Нет"/>
          <w:rtl w:val="0"/>
          <w:lang w:val="ru-RU"/>
        </w:rPr>
        <w:t>центра Управления развития и поддержки собственных электронных информационных ресурсов банка</w:t>
      </w:r>
      <w:r>
        <w:rPr>
          <w:rStyle w:val="Нет"/>
          <w:rtl w:val="0"/>
          <w:lang w:val="ru-RU"/>
        </w:rPr>
        <w:t xml:space="preserve">. </w:t>
      </w:r>
      <w:r>
        <w:rPr>
          <w:rStyle w:val="Нет"/>
          <w:rtl w:val="0"/>
          <w:lang w:val="ru-RU"/>
        </w:rPr>
        <w:t xml:space="preserve">Данная организационная структура представлена на рисунке </w:t>
      </w:r>
      <w:r>
        <w:rPr>
          <w:rStyle w:val="Нет"/>
          <w:rtl w:val="0"/>
          <w:lang w:val="ru-RU"/>
        </w:rPr>
        <w:t>2.</w:t>
      </w:r>
    </w:p>
    <w:p>
      <w:pPr>
        <w:pStyle w:val="Normal.0"/>
        <w:rPr>
          <w:rStyle w:val="Нет"/>
        </w:rPr>
      </w:pPr>
      <w:r>
        <w:rPr>
          <w:rStyle w:val="Нет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313865</wp:posOffset>
            </wp:positionH>
            <wp:positionV relativeFrom="line">
              <wp:posOffset>203200</wp:posOffset>
            </wp:positionV>
            <wp:extent cx="5475890" cy="505686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8"/>
                <wp:lineTo x="0" y="21608"/>
                <wp:lineTo x="0" y="0"/>
              </wp:wrapPolygon>
            </wp:wrapThrough>
            <wp:docPr id="1073741826" name="officeArt object" descr="Снимок экрана 2026-03-09 в 23.12.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Снимок экрана 2026-03-09 в 23.12.32.png" descr="Снимок экрана 2026-03-09 в 23.12.3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890" cy="50568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</w:pPr>
    </w:p>
    <w:p>
      <w:pPr>
        <w:pStyle w:val="Normal.0"/>
        <w:ind w:firstLine="0"/>
        <w:jc w:val="center"/>
      </w:pPr>
    </w:p>
    <w:p>
      <w:pPr>
        <w:pStyle w:val="Normal.0"/>
        <w:ind w:firstLine="0"/>
        <w:jc w:val="center"/>
        <w:rPr>
          <w:rStyle w:val="Нет"/>
          <w:b w:val="1"/>
          <w:bCs w:val="1"/>
          <w:sz w:val="24"/>
          <w:szCs w:val="24"/>
        </w:rPr>
      </w:pPr>
      <w:r>
        <w:rPr>
          <w:rStyle w:val="Нет"/>
          <w:b w:val="1"/>
          <w:bCs w:val="1"/>
          <w:sz w:val="24"/>
          <w:szCs w:val="24"/>
          <w:rtl w:val="0"/>
          <w:lang w:val="ru-RU"/>
        </w:rPr>
        <w:t xml:space="preserve">Рисунок </w:t>
      </w:r>
      <w:r>
        <w:rPr>
          <w:rStyle w:val="Нет"/>
          <w:b w:val="1"/>
          <w:bCs w:val="1"/>
          <w:sz w:val="24"/>
          <w:szCs w:val="24"/>
          <w:rtl w:val="0"/>
          <w:lang w:val="ru-RU"/>
        </w:rPr>
        <w:t xml:space="preserve">2 </w:t>
      </w:r>
      <w:r>
        <w:rPr>
          <w:rStyle w:val="Нет"/>
          <w:b w:val="1"/>
          <w:bCs w:val="1"/>
          <w:sz w:val="24"/>
          <w:szCs w:val="24"/>
          <w:rtl w:val="0"/>
          <w:lang w:val="ru-RU"/>
        </w:rPr>
        <w:t>– организационная структура ОАО «Сбер Банк»</w:t>
      </w:r>
    </w:p>
    <w:p>
      <w:pPr>
        <w:pStyle w:val="Normal.0"/>
        <w:ind w:firstLine="0"/>
        <w:jc w:val="center"/>
        <w:rPr>
          <w:rStyle w:val="Нет"/>
          <w:sz w:val="22"/>
          <w:szCs w:val="22"/>
        </w:rPr>
      </w:pPr>
      <w:r>
        <w:rPr>
          <w:rStyle w:val="Нет"/>
          <w:sz w:val="22"/>
          <w:szCs w:val="22"/>
          <w:rtl w:val="0"/>
          <w:lang w:val="ru-RU"/>
        </w:rPr>
        <w:t>Примечание – Источник</w:t>
      </w:r>
      <w:r>
        <w:rPr>
          <w:rStyle w:val="Нет"/>
          <w:sz w:val="22"/>
          <w:szCs w:val="22"/>
          <w:rtl w:val="0"/>
          <w:lang w:val="ru-RU"/>
        </w:rPr>
        <w:t xml:space="preserve">: </w:t>
      </w:r>
      <w:r>
        <w:rPr>
          <w:rStyle w:val="Нет"/>
          <w:sz w:val="22"/>
          <w:szCs w:val="22"/>
          <w:rtl w:val="0"/>
          <w:lang w:val="ru-RU"/>
        </w:rPr>
        <w:t>собственная разработка</w:t>
      </w:r>
    </w:p>
    <w:p>
      <w:pPr>
        <w:pStyle w:val="Normal.0"/>
        <w:ind w:firstLine="0"/>
        <w:jc w:val="center"/>
        <w:rPr>
          <w:rStyle w:val="Нет"/>
          <w:sz w:val="22"/>
          <w:szCs w:val="22"/>
        </w:rPr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Во главе организации стоит Председатель Правления банка – Ананич Виктор Михайлович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который осуществляет общее руководство деятельностью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координирует и направляет работу заместителей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главного бухгалтера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руководителей ключевых департаментов и управлений в соответствии с распределением обязанностей в ОАО «АСБ Беларусбанк»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Председатель Правления имеет семь заместителей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каждый из которых координирует и направляет деятельность директоров департаментов по закрепленным направлениям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Непосредственное курирование вопросов цифрового развития и информационных технологий осуществляет один из заместителей Председателя 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Каждый департамент делится на управления и отделы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рисунке представлена организационная структура Департамента информационных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состав которого входит Управление развития и поддержки собственных электронных информационных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проходила преддипломная практика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структуру данного управления входит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другие отделы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обеспечивающие функционирование и развитие цифровых каналов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центре представлены такие должности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 инженеры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программисты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специалисты по поддержке пользователей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аналитики и тестировщики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результате анализа организационной структуры ОАО «АСБ Беларусбанк» было установлено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в основе системы управления лежит 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функциональный принцип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обеспечивающий чёткое распределение полномочий и ответственности между уровнями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Данная структура позволяет поддерживать единоначалие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упорядочивать управленческие процессы и обеспечивать стабильность функционирования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особенно важно для крупнейшего финансового учреждения страны с разветвлённой иерархией и высокой степенью регламентации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Кроме того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применяется процессный подход к управлению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реализуемый на основе концепции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BPM,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рамках которой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рассматриваются как ключевые ресурсы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Использование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BPM-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решений способствует повышению эффективности деятельности за счёт автоматизации и стандартизации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контроля на основе системы показателей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обеспечения прозрачности и качества выполнения операций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сочетание 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функциональной организационной структуры и процессного подхода позволяет ОАО «АСБ Беларусбанк» обеспечивать устойчивое развитие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эффективное управление рисками и адаптацию к изменениям внешней среды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дглавы"/>
      </w:pPr>
      <w:bookmarkStart w:name="_Toc4" w:id="4"/>
      <w:r>
        <w:rPr>
          <w:rStyle w:val="Нет"/>
          <w:rFonts w:cs="Arial Unicode MS" w:eastAsia="Arial Unicode MS"/>
          <w:rtl w:val="0"/>
          <w:lang w:val="ru-RU"/>
        </w:rPr>
        <w:t xml:space="preserve">1.3 </w:t>
      </w:r>
      <w:r>
        <w:rPr>
          <w:rStyle w:val="Нет"/>
          <w:rFonts w:cs="Arial Unicode MS" w:eastAsia="Arial Unicode MS" w:hint="default"/>
          <w:rtl w:val="0"/>
          <w:lang w:val="ru-RU"/>
        </w:rPr>
        <w:t>Результаты финансово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хозяйственной деятельности организации</w:t>
      </w:r>
      <w:bookmarkEnd w:id="4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отображения и анализа результатов финансово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хозяйственной деятельности ОАО «АСБ Беларусбанк» были выбраны ключевые количественные и качественные показатели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помощью которых можно оценить эффективность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Начнём с описания общих финансовых результатов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Прибыль компании по итогам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года демонстрирует стабильные показатели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этом Банк сохраняет лидирующие позиции в банковской системе Республики Беларусь по объему нормативного капитала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активов и кредитному портфелю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В течение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года ОАО «АСБ Беларусбанк» не нарушал нормативы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установленные Национальным банком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имел запас по многим показателям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За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 банком в полном объёме были созданы резервы на покрытие возможных убытков по активам и операциям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отраженным на балансе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На заседании Наблюдательного совета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27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октября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года был рассмотрен отчет об итогах работы банка и ходе реализации Стратегического плана развития ОАО «АСБ Беларусбанк» за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9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месяцев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года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 также утверждена Концепция развития банка до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2035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года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подразделениях банка по всей стране регулярно проводятся итоговые совещания по результатам финансово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хозяйственной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Так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феврале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2026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года в ЦБУ №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703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Бобруйске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Могилевском областном управлении №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700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в Гомельском областном управлении №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300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были подведены итоги работы за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год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отмечены высокие результаты и награждены лучшие сотрудники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Анализ активов и обязательств Банка показывает стабильный рост масштабов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Сумма активов и обязательств Банка демонстрирует положительную динамику на протяжении последних лет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отражает расширение масштабов деятельности и устойчивый спрос на банковские продукты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Рост совокупных средств клиентов подтверждает высокий уровень доверия к банку со стороны населения и корпоративного сектора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Кредитный портфель Банка показывает уверенный рост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Наблюдается стабильное увеличение спроса на кредитные продукты со стороны как корпоративных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розничных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Корпоративные кредиты и розничное кредитование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том числе ипотека с государственной поддержкой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демонстрируют положительную динамику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Привлечённые средства клиентов увеличиваются благодаря выгодным предложениям Банка по депозитным продуктам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Количество розничных и корпоративных клиентов банка стабильно растет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свидетельствует о расширении клиентской базы и укреплении рыночных позиций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Особого внимания заслуживают достижения ОАО «АСБ Беларусбанк» в области цифровизации и технологического развития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имеет прямое отношение к месту прохождения практики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декабре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года на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IV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Республиканском конкурсе «Лидеры цифровой экономики –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2025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Беларусбанк получил пять первых мест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«Компания года» в номинации в области цифровизации процессов и цифровой трансформации производственной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«Программный продукт года» — система дистанционного банковского обслуживания для юридических лиц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и мобильное приложение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M-Business Belarusbank);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«Программно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аппаратный продукт года» — АИС «Корпоративное хранилище данных»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«Программный продукт года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новые разработки» — ПК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(WEB)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» для обслуживания счетов Лоро и Ностро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система обмена финансовыми сообщениями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аналог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SWIFT,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разработанный для обеспечения резервного канала передачи финансовых сообщений в случае недоступности международных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>);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«Реализованный проект года по цифровой трансформации процессов организации» — открытые платежные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API.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Программный комплекс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банк» для обслуживания счетов Лоро и Ностро является продуктом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имеющим аналогов в Республике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Он обеспечивает поддержку международных форматов финансовых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SWIFT MT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позволяет сохранять совместимость с существующими банковскими решениями и облегчает взаимодействие с нерезидентами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Корпоративное хранилище данных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КХД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представляет собой систему накопления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обработки и использования данных из более чем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источников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КХД хранятся данные о клиентах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продуктах и других ключевых направлениях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Результаты работы КХД используются при оценке и прогнозировании деятельности различных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принятии оперативных и стратегических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разработке новых и улучшении существующих банковских продуктов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повышает удовлетворенность клиентов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Система дистанционного банковского обслуживания для юридических лиц «Программный комплекс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SC-Bank.360.Digital Channels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позволяет осуществлять банковские операции в режиме онлайн без излишнего бумажного документооборота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Основные пользователи системы — юридические лица и индивидуальные предприниматели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Продукт представлен в виде мобильного 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web-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приложений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обеспечивает взаимодействие с банком любым удобным способом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также уделяет значительное внимание повышению безопасности дистанционных 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научных исследованиях отмечается важность внедрения многофакторной аутентификации на основе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fr-FR"/>
          <w14:textFill>
            <w14:solidFill>
              <w14:srgbClr w14:val="0F1115"/>
            </w14:solidFill>
          </w14:textFill>
        </w:rPr>
        <w:t xml:space="preserve">TOTP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повышения качества обслуживания физических лиц и конкурентоспособности ОАО «АСБ Беларусбанк»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усиления информационной безопасности для развития 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услуг и укрепления доверия клиентов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области клиентского сервиса Беларусбанк активно развивает систему управления очередью в отделениях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Внедрение современных программно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аппаратных комплексов электронной очереди позволяет не только управлять потоками посетителей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и предоставляет сервис оценки качества работы сотрудников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Аналитический модуль позволяет выводить статистику обслуживания как по каждому оператору или услуге с учетом поставленных оценок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по отделению в целом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отражая общий уровень настроения клиентов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Проведённый анализ финансово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хозяйственной деятельности ОАО «АСБ Беларусбанк» позволяет сделать вывод о сохранении его финансовой устойчивости и надёжных позиций на рынке в качестве лидера банковской системы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демонстрирует стабильный рост активов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обязательств и кредитного портфеля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отражает расширение масштабов деятельности и устойчивый спрос на банковские продукты со стороны корпоративных и розничных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Рост объёма привлечённых средств подтверждает высокий уровень доверия к банку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Соблюдение всех нормативов Национального банка Республики Беларусь и наличие запаса по показателям достаточности капитала свидетельствуют о высокой степени финансовой надёжности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Дополнительным преимуществом Беларусбанка является его технологическое развитие и ориентация на инновации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Признание на республиканском уровне в конкурсе «Лидеры цифровой экономики –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2025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с получением пяти первых мест подтверждает статус банка как лидера цифровой трансформации в финансовом секторе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Особенно важно отметить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разработки банка в области дистанционного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корпоративного хранилища данных и резервных каналов передачи финансовых сообщений создаются собственными силами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том числе с участием таких подразделений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как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 Управления развития и поддержки собственных электронных информационных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проходила преддипломная практика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совокупности это формирует прочную основу для дальнейшего устойчивого развития Банка в среднесрочной и долгосрочной перспективе в соответствии с Концепцией развития до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2035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года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первом разделе отчёта была проведена комплексная организационно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экономическая характеристика ОАО «АСБ Беларусбанк» как субъекта хозяйствования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Рассмотрены общие сведения о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его правовой статус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цели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основные банковские операции и место в банковской системе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Установлено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ОАО «АСБ Беларусбанк» является универсальным коммерческим банком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ориентированным как на обслуживание населения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на корпоративный сектор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занимает лидирующие позиции среди банков страны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Анализ организационной структуры управления показал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в банке применяется линейно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функциональная структура в сочетании с процессным подходом к управлению на основе концепции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BPM.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Такое сочетание обеспечивает чёткое распределение полномочий и ответственности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эффективность управления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способствует повышению прозрачности и качества принимаемых управленческих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Детально рассмотрена структура подчинения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центра Управления развития и поддержки собственных электронных информационных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непосредственно проходила практика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Оценка результатов финансово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хозяйственной деятельности свидетельствует о финансовой устойчивости Банка и стабильном росте его активов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кредитного портфеля и клиентской базы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сохраняет высокий уровень капитализации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полностью соблюдает нормативы Национального банка Республики Беларусь и располагает достаточным запасом финансовой прочности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Существенными конкурентными преимуществами ОАО «АСБ Беларусбанк» являются его технологическое лидерство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подтвержденное пятью наградами конкурса «Лидеры цифровой экономики –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2025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>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активное внедрение собственных цифровых решений и ориентация на стратегическое развитие до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2035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года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результаты первого раздела подтверждают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ОАО «АСБ Беларусбанк» представляет собой современную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финансово устойчивую и инновационно ориентированную банковскую организацию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обладающую значительным потенциалом дальнейшего развития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</w:pP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5" w:id="5"/>
      <w:r>
        <w:rPr>
          <w:rStyle w:val="Нет"/>
          <w:rFonts w:cs="Arial Unicode MS" w:eastAsia="Arial Unicode MS"/>
          <w:rtl w:val="0"/>
          <w:lang w:val="ru-RU"/>
        </w:rPr>
        <w:t xml:space="preserve">2. </w:t>
      </w:r>
      <w:r>
        <w:rPr>
          <w:rStyle w:val="Нет"/>
          <w:rFonts w:cs="Arial Unicode MS" w:eastAsia="Arial Unicode MS" w:hint="default"/>
          <w:rtl w:val="0"/>
          <w:lang w:val="ru-RU"/>
        </w:rPr>
        <w:t>Управление информационными технологиями и информационными системами в организации</w:t>
      </w:r>
      <w:bookmarkEnd w:id="5"/>
    </w:p>
    <w:p>
      <w:pPr>
        <w:pStyle w:val="Подглавы"/>
      </w:pPr>
      <w:bookmarkStart w:name="_Toc6" w:id="6"/>
      <w:r>
        <w:rPr>
          <w:rStyle w:val="Нет"/>
          <w:rFonts w:cs="Arial Unicode MS" w:eastAsia="Arial Unicode MS"/>
          <w:rtl w:val="0"/>
          <w:lang w:val="ru-RU"/>
        </w:rPr>
        <w:t xml:space="preserve">2.1 </w:t>
      </w:r>
      <w:r>
        <w:rPr>
          <w:rStyle w:val="Нет"/>
          <w:rFonts w:cs="Arial Unicode MS" w:eastAsia="Arial Unicode MS" w:hint="default"/>
          <w:rtl w:val="0"/>
          <w:lang w:val="ru-RU"/>
        </w:rPr>
        <w:t>Характеристика информационной инфраструктуры организации</w:t>
      </w:r>
      <w:bookmarkEnd w:id="6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имеет разветвлённую сеть филиалов и отделений по всей стране в различных городах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большинство этих подразделений направлены на предоставление услуг частным лицам и корпоративным клиентам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Поэтому описание и характеристика будут представлены для центрального аппарата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котором и проходилась практика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ОАО «АСБ Беларусбанк» информационные технологии и системы играют важнейшую роль в позиционировании себя на рынке как лидера банковской системы Республики Беларусь по цифровизации и автоматизации ключевых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Подтверждением этого служат пять первых мест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полученных банком на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IV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Республиканском конкурсе «Лидеры цифровой экономики –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2025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>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победу в номинации «Компания года» в области цифровизации процессов и цифровой трансформации производственной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реестре автоматизированных систем и функциональных подсистем ОАО «АСБ Беларусбанк» на конец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года насчитывалось значительное количество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обеспечивающих поддержку всех направлений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каждой системы назначены владельцы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определён её класс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стадия жизненного цикла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которой данная система находится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активно продолжает внедрять современные технологии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последнее время происходит активное развитие собственных электронных информационных ресурсов и внедрение инновационных решений во все подразделения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Особое внимание уделяется развитию систем дистанционного банковского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корпоративного хранилища данных и резервных каналов передачи финансовых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Информационная инфраструктура ОАО «АСБ Беларусбанк» представляет собой совокупность аппаратных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программных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телекоммуникационных и организационных средств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обеспечивающих поддержку основных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центральном аппарате организованы серверные помещения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предназначенные для размещения серверного оборудования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которое поддерживает работу инфраструктуры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Доступами и организацией серверов занимается специализированное подразделение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отвечающее за размещение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поддержку и функционирование серверного парка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данном оборудовании размещены центры обработки данных для предоставления релевантной информации сотрудникам по принятию стратегических и управленческих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для поддержки работы внутренних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Рабочее место сотрудника включает один или два монитора в зависимости от должности и пожеланий самого сотрудника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Также предоставляется компьютерная мышь и клавиатура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На каждом рабочем месте сотрудника установлена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IP-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телефония для внутренней связи в офисе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гарнитура предоставляется по необходимости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 банка работает в режиме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понедельник—пятница с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8:30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до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21:00,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суббота—воскресенье с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9:00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до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18:00,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также доступен онлайн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консультант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офисе на каждом этаже имеется несколько переговорных кабинетов различных размеров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них установлено мультимедийное оборудование с подключенными камерами для проведения онлайн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встреч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имеются микрофоны для выступления и представления проектов и задач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переговорных кабинетах также обеспечена возможность подключения к информационным системам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банке организовано два вида сетей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внутренняя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интранет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 внешняя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Внутренняя сеть предоставляет доступ только к корпоративным системам и является основной для выполнения должностных обязанностей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Внешняя сеть предоставляет доступ к внешним информационным ресурсам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сотрудники могут использовать для решения рабочих задач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этом в банке действуют ограничения по соображениям безопасности и защиты персональных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контроль за воспроизведением мультимедийного контента и использованием внешних почтовых сервисов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функционирует несколько категорий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Внутрибанковская система кадрового учета содержит информацию о сотрудниках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их должностях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рабочих местах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внутренней электронной почте и внутренних номерах телефонов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Клиентские системы хранят информацию о клиентах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их договорах и другие данные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необходимые для принятия решений по банковским продуктам и услугам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Политика безопасности и управления рисками в банке построена на функционировании службы комплаенс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контроля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которая обеспечивает информирование уполномоченных подразделений о потенциальных рисках и контроль соответствия деятельности Банка установленным требованиям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используется несколько систем хранения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Одной из ключевых систем является корпоративное хранилище данных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КХД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которое представляет собой систему накопления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обработки и использования данных из более чем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источников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КХД хранятся данные о клиентах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продуктах и других ключевых направлениях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Результаты работы КХД используются при оценке и прогнозировании деятельности различных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принятии оперативных и стратегических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разработке новых и улучшении существующих банковских продуктов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аналитической обработки данных и визуализации используются различные инструменты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аналитики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позволяющие создавать дашборды и аналитические отчеты для поддержки принятия управленческих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Активно развиваются подходы к организации озер данных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(data lakes)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выделением витрин данных под конкретные задачи отделов и департаментов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внедрена система электронного документооборота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которая обеспечивает автоматизацию процессов создания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согласования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подписания и хранения документов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Система имеет настраиваемые шаблоны документов в зависимости от типовых ситуаций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обеспечивает возможность отслеживания маршрутов движения документов и назначения ролей сотрудников для выполнения различных действий с документами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исполнение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подписание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рассмотрение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одобрение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ознакомление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).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Теперь сосредоточимся на описании информационной инфраструктуры в подразделении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где проходила практика —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центре Управления развития и поддержки собственных электронных информационных ресурсов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Ключевыми информационными системами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которыми осуществляется взаимодействие в данном подразделении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являются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4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 дистанционного банковского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для физических лиц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мобильное приложение «М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Банкинг»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систему дистанционного банковского обслуживания для юридических лиц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и мобильное приложение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M-Business Belarusbank),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программный комплекс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(WEB)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для обслуживания счетов Лоро и Ностро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Последний является продуктом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имеющим аналогов в Республике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обеспечивает поддержку международных форматов финансовых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SWIFT MT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ISO 20022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numPr>
          <w:ilvl w:val="0"/>
          <w:numId w:val="4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Официальный портал банка и другие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web-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ресурсы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обеспечивающие информационное взаимодействие с клиентами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numPr>
          <w:ilvl w:val="0"/>
          <w:numId w:val="4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Внутренние системы поддержки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используемые сотрудниками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центра для обработки обращений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консультаций и решения проблем пользователей электронных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numPr>
          <w:ilvl w:val="0"/>
          <w:numId w:val="4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 мониторинга и аналитики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позволяющие отслеживать доступность и производительность электронных сервисов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анализировать обращения клиентов для выявления типовых проблем и направлений улучшения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обработки обращений клиентов в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центре можно описать следующим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Обращение поступает через один из каналов связи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телефонный звонок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соответствии с режимом работы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онлайн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чат на официальном сайте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электронную почту или через форму обратной связи в мобильном приложении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Сотрудник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центра идентифицирует клиента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фиксирует суть обращения в специализированной системе учета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классифицирует проблему 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зависимости от её сложности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либо предоставляет консультацию самостоятельно с использованием доступных информационных ресурсов и базы знаний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либо эскалирует обращение на вышестоящие уровни поддержки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внутри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центра или в профильные подразделения — 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тестирования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анализа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 результатам обработки обращения фиксируется его решение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клиенту предоставляется обратная связь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процессе работы сотрудники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центра взаимодействуют с множеством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ключевая задача заключается в обеспечении их бесперебойной работы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в сборе информации для улучшения функциональности электронных ресурсов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 процессу можно сделать следующий вывод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поддержки пользователей собственных электронных информационных ресурсов банка требует четкой координации между различными системами и подразделениями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оперативного доступа к актуальной информации и эффективных инструментов фиксации и отслеживания обращений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Можно выделить определенные направления для совершенствования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дальнейшая автоматизация типовых запросов с использованием баз знаний и инструментов самообслуживания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развитие интеграции между системами учета обращений и системами мониторинга для оперативного выявления и реагирования на инциденты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совершенствование аналитики обращений для выявления системных проблем и приоритетов развития электронных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расширение каналов взаимодействия с клиентами и обеспечение бесшовного перехода между ними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Несмотря на высокий уровень развития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поддержки пользователей собственных электронных ресурсов банка сохраняет потенциал для дальнейшего совершенствования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том числе за счёт углубления автоматизации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оптимизации взаимодействия между информационными системами и использования аналитики для проактивного выявления и решения проблем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List Paragraph"/>
        <w:ind w:left="0" w:firstLine="709"/>
      </w:pPr>
    </w:p>
    <w:p>
      <w:pPr>
        <w:pStyle w:val="Подглавы"/>
      </w:pPr>
      <w:bookmarkStart w:name="_Toc7" w:id="7"/>
      <w:r>
        <w:rPr>
          <w:rStyle w:val="Нет"/>
          <w:rFonts w:cs="Arial Unicode MS" w:eastAsia="Arial Unicode MS"/>
          <w:rtl w:val="0"/>
          <w:lang w:val="ru-RU"/>
        </w:rPr>
        <w:t xml:space="preserve">2.2 </w:t>
      </w:r>
      <w:r>
        <w:rPr>
          <w:rStyle w:val="Нет"/>
          <w:rFonts w:cs="Arial Unicode MS" w:eastAsia="Arial Unicode MS" w:hint="default"/>
          <w:rtl w:val="0"/>
          <w:lang w:val="ru-RU"/>
        </w:rPr>
        <w:t>Анализ методических материалов и стандартов в области информационных технологий</w:t>
      </w:r>
      <w:bookmarkEnd w:id="7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условиях высокой регуляторной нагрузки и усиленной конкуренции в банковском секторе деятельность в области информационных технологий требует чёткой регламентации и системного подхода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Методические материалы 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стандарты играют важную роль в обеспечении надёжности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стабильности и прозрачности функционирования информационных систем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Применение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стандартов напрямую связано с повышением качества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уровня информационной безопасности и устойчивости ключевых банковских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Формализация процессов 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внедрения и сопровождения информационных систем способствует снижению технологических и операционных рисков и обеспечивает эффективную поддержку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деятельности ОАО «АСБ Беларусбанк»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практике ОАО «АСБ Беларусбанк» используются принципы и подходы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основанные на международных стандартах и лучших практиках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адаптируются с учётом масштабов деятельности Банка и требований финансового сектора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имеет доступ к информационно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правовым ресурсам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размещаются стандарты и постановления Национального банка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внутренние стандарты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локальные нормативные правовые акты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спецификации и распоряжения по различным системам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Основным стандартом в управлении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проектами является 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Agile. Agile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— это подход к разработке программного обеспечения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который акцентирует внимание на сотрудничестве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гибкости и быстрой поставке ценности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Agile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основывается на четырёх ключевых ценностях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Ключевыми преимуществами данной методологии является быстрая адаптация к изменениям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повышение вовлечённости команды и качества продукта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улучшенное управление рисками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Из методологии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Agile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Беларусбанке используется фреймворк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fr-FR"/>
          <w14:textFill>
            <w14:solidFill>
              <w14:srgbClr w14:val="0F1115"/>
            </w14:solidFill>
          </w14:textFill>
        </w:rPr>
        <w:t xml:space="preserve">SCRUM,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основе которого лежат спринты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организации используются двухнедельные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каждом отделе имеются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product owners,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отвечают за продукты отдела и актуализируют бэклоги по задачам в спринте и цикле 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также используются международные стандарты по управлению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. COBIT (Control Objectives for Information and Related Technologies)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— фреймворк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разработанный ассоциацией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 xml:space="preserve">ISACA,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предназначенный для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контроля и аудита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банковском секторе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COBIT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используется как инструмент согласования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деятельности с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целями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требованиями регуляторов и задачами управления рисками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особенно важно в условиях высокой ответственности за устойчивость и безопасность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Фреймворк основан на принципах корпоративного управления и охватывает ключевые домены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связанные с планированием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эксплуатацией и контролем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Существенным элементом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COBIT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модель зрелости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позволяющая оценивать уровень развития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управления и степень формализации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Для количественной оценки применяются показатели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KGI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KPI,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используются для мониторинга достижения стратегических целей и эффективности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COBIT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широко применяется в банковской практике при проведении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аудитов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оценке операционных и технологических рисков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при построении систем внутреннего контроля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ITIL (Information Technology Infrastructure Library)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— фреймворк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ориентированный на управление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услугами и повышение их ценности для бизнеса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Для банковских организаций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основой организации стабильного и качественного предоставления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обеспечивающих бесперебойную работу платёжных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расчётных и аналитических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Следует отметить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что в ОАО «АСБ Беларусбанк» ещё 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2015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году был реализован проект по созданию Автоматизированной системы управления информационными технологиями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рамках которого были разработаны и автоматизированы базовые процессы управления ИТ в соответствии с рекомендациями библиотеки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 v3: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взаимодействием с пользователем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услуг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инцидентами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запросами на обслуживание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релизами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Созданная система представляет собой единое информационное пространство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обеспечивающее автоматизацию и контроль процессов управления ИТ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описывает лучшие практики управления услугами на всех этапах их жизненного цикла — от планирования и проектирования до эксплуатации и постоянного улучшения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банковской среде ключевыми показателями в рамках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являются доступность и надёжность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сервисов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соблюдение соглашений об уровне услуг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(SLA),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скорость восстановления после инцидентов и уровень удовлетворённости внутренних пользователей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В отличие от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COBIT, ITIL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фокусируется не только на контроле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и на повышении качества обслуживания и обеспечении устойчивости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инфраструктуры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критически важно для непрерывности банковских операций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Ещё одним международным стандартом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уже в сфере финансовых операций действующим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является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20022. 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– международный стандарт обмена электронными сообщениями между организациями финансовой отрасли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представляет собой согласованную методологию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используемую в финансовой сфере для создания единых стандартов передачи сообщений во всех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процессах сферы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Метод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основан на концепции отдельных слоёв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Различают три слоя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верхний слой включает ключевые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и понятия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промежуточный слой содержит логические сообщения или модели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синтаксис представляет собой нижний слой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Одной из ключевых характеристик методологии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то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существует чёткое разделение между торговой операцией и способом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помощи которого данная торговая операция представлена в сообщении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то есть синтаксис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начинается с создания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модели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то есть определения деятельности или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ролей и субъектов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вовлечённых в эту деятельность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необходимой для организации такой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Применение данного стандарта в Беларусбанке подтверждается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частности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разработкой программного комплекса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(WEB)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для обслуживания счетов Лоро и Ностро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который обеспечивает поддержку международных форматов финансовых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SWIFT MT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ISO 20022.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Помимо международных стандартов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действует система внутренних методических документов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регламентирующих процессы 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сопровождения и эксплуатации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Одним из таких стандартов в ОАО «АСБ Беларусбанк» для описания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процессов является 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 xml:space="preserve">SIPOC. SIPOC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— это акроним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образованный от английских слов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Supplier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поставщик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), Input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вход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), Process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), Output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выход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), Customer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заказчик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 xml:space="preserve">SIPOC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представляет собой инструмент для структурированного описания и анализа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на верхнем уровне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Она позволяет наглядно отразить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какие поставщики участвуют в процессе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какие входные ресурсы используются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 именно протекает процесс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какие результаты он формирует и для кого эти результаты предназначены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Как правило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>, SIPOC-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модель представляется в виде таблицы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делает её удобной для восприятия и обсуждения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её помощью можно суммировать ключевые входные и выходные данные одного или нескольких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углубляясь в избыточные детали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Модель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 xml:space="preserve">SIPOC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описывает процессы с точки зрения последовательности основных действий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движения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товаров или услуг между этапами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взаимодействия между различными участниками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Использование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 xml:space="preserve">SIPOC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позволяет проследить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логику процесса на высоком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при этом управляемом уровне абстракции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Это особенно важно для формирования единого понимания процесса всеми заинтересованными сторонами — от исполнителей до руководства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Кроме того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модель помогает чётко определить зоны ответственности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ключевые параметры процесса и ожидания клиентов от его результата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Методология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 xml:space="preserve">SIPOC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широко применяется для описания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анализа и обзора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компании в целом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Такой подход позволяет руководителям и сотрудникам выявлять потенциальные проблемы и узкие места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избыточные или ненужные входы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выходы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создающие ценности для клиента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этапы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приводящие к потерям или неэффективным затратам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 основным преимуществам использования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s-ES_tradnl"/>
          <w14:textFill>
            <w14:solidFill>
              <w14:srgbClr w14:val="0F1115"/>
            </w14:solidFill>
          </w14:textFill>
        </w:rPr>
        <w:t>SIPOC-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схем можно отнести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простоту чтения и наглядность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благодаря чему они легко воспринимаются лицами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принимающими решения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чёткое определение границ процесса — момента его начала и завершения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возможность быстро выделить основные этапы и логику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формирование единого понимания процесса внутри организации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быстрое выявление ключевых входов и выходов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определение основных поставщиков и клиентов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помощь в обнаружении пробелов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несогласованностей и зон для улучшения в работе компании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Наряду с этим в банке действует множество локальных нормативных правовых актов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ЛНПА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ЛНПА действуют для каждого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 и описывают определённые шаги в действиях работников по взаимодействию с системой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Аналогично в банке действуют и множество распоряжений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направленных не только на организацию управленческих взаимодействий между сотрудниками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и описывающих правила и действия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 они должны работать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какой результат должен быть получен при том или ином исходе в ходе действия 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деятельность ОАО «АСБ Беларусбанк» в области информационных технологий основана на сочетании международных стандартов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гибких методологий управления и внутренних нормативных документов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Применение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Agile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 xml:space="preserve">Scrum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обеспечивает адаптивность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 использование стандартов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COBIT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практическую реализацию автоматизированной системы управления ИТ на базе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ITIL v3,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способствует повышению управляемости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качества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услуг и уровня информационной безопасности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Внедрение международного стандарта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разработку собственных программных продуктов подтверждает стремление банка к интеграции в глобальное финансовое пространство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Дополнение данных подходов внутренними методиками и ЛНПА позволяет формализовать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и обеспечить надёжную поддержку ключевых направлений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List Paragraph"/>
        <w:ind w:left="0" w:firstLine="709"/>
        <w:rPr>
          <w:rStyle w:val="Нет"/>
          <w:shd w:val="clear" w:color="auto" w:fill="ffffff"/>
        </w:rPr>
      </w:pPr>
    </w:p>
    <w:p>
      <w:pPr>
        <w:pStyle w:val="Подглавы"/>
      </w:pPr>
      <w:bookmarkStart w:name="_Toc8" w:id="8"/>
      <w:r>
        <w:rPr>
          <w:rStyle w:val="Нет"/>
          <w:rFonts w:cs="Arial Unicode MS" w:eastAsia="Arial Unicode MS"/>
          <w:rtl w:val="0"/>
          <w:lang w:val="ru-RU"/>
        </w:rPr>
        <w:t xml:space="preserve">2.3 </w:t>
      </w:r>
      <w:r>
        <w:rPr>
          <w:rStyle w:val="Нет"/>
          <w:rFonts w:cs="Arial Unicode MS" w:eastAsia="Arial Unicode MS" w:hint="default"/>
          <w:rtl w:val="0"/>
          <w:lang w:val="ru-RU"/>
        </w:rPr>
        <w:t>Используемые информационные технологии</w:t>
      </w:r>
      <w:r>
        <w:rPr>
          <w:rStyle w:val="Нет"/>
          <w:rFonts w:cs="Arial Unicode MS" w:eastAsia="Arial Unicode MS"/>
          <w:rtl w:val="0"/>
          <w:lang w:val="ru-RU"/>
        </w:rPr>
        <w:t xml:space="preserve">, </w:t>
      </w:r>
      <w:r>
        <w:rPr>
          <w:rStyle w:val="Нет"/>
          <w:rFonts w:cs="Arial Unicode MS" w:eastAsia="Arial Unicode MS" w:hint="default"/>
          <w:rtl w:val="0"/>
          <w:lang w:val="ru-RU"/>
        </w:rPr>
        <w:t>классы информационных систем и задачи</w:t>
      </w:r>
      <w:r>
        <w:rPr>
          <w:rStyle w:val="Нет"/>
          <w:rFonts w:cs="Arial Unicode MS" w:eastAsia="Arial Unicode MS"/>
          <w:rtl w:val="0"/>
          <w:lang w:val="ru-RU"/>
        </w:rPr>
        <w:t xml:space="preserve">, </w:t>
      </w:r>
      <w:r>
        <w:rPr>
          <w:rStyle w:val="Нет"/>
          <w:rFonts w:cs="Arial Unicode MS" w:eastAsia="Arial Unicode MS" w:hint="default"/>
          <w:rtl w:val="0"/>
          <w:lang w:val="ru-RU"/>
        </w:rPr>
        <w:t>решаемые с их помощью</w:t>
      </w:r>
      <w:bookmarkEnd w:id="8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Информационные технологии для Банка являются одним из ключевых видов операционной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Данное направление активно развивается за счёт внедрения современных технологий и цифровой трансформации ключевых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Подтверждением этого служат пять первых мест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полученных банком на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IV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Республиканском конкурсе «Лидеры цифровой экономики –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2025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>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победу в номинации «Компания года» в области цифровизации процессов и цифровой трансформации производственной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основе информационных технологий построены все ключевые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также происходит интеграция между различными подразделениями и внешними контрагентами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Опишем классы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используются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Один из классов – это фронтальные 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 с которыми пользователь взаимодействует при обращении в банк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Такими системами можно считать банкоматы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инфокиоски и платежно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справочные терминалы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расположенные практически во всех филиалах и подразделениях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сотрудников центрального аппарата действует проходная система с помощью специальных карточек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отделениях банка активно внедряются современные программно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аппаратные комплексы электронной очереди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позволяют не только управлять потоками посетителей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и предоставляют сервис оценки качества работы сотрудников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Аналитический модуль позволяет выводить статистику обслуживания как по каждому оператору или услуге с учетом поставленных оценок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по отделению в целом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отражая общий уровень настроения клиентов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Ещё одной фронтальной системой Банка является его официальный сайт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сайте ОАО «АСБ Беларусбанк» есть возможность просмотра информации об актуальном курсе валют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планируемых вакансиях и возможностях карьерного развития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установки мобильных приложений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предоставляет клиентам современные системы дистанционного банковского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 для физических лиц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мобильное приложение «М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Банкинг»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систему дистанционного банковского обслуживания для юридических лиц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и мобильное приложение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M-Business Belarusbank),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программный комплекс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банк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(WEB)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 для обслуживания счетов Лоро и Ностро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Последний является продуктом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 имеющим аналогов в Республике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обеспечивает поддержку международных форматов финансовых сообщений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включая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SWIFT MT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ISO 20022.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сайте представлены актуальные статьи по темам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мошенничества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обновлений в мобильных приложениях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финансовой грамотности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новости по технологиям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развитию бизнеса и деятельности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Сайт ОАО «АСБ Беларусбанк» является важной фронтальной системой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обеспечивающей доступ к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сервисам и специальным предложениям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поддерживающей взаимодействие с клиентами и соискателями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Ключевыми задачами данного класса систем являются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предоставление информации клиентам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формирование отчётности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обработка транзакций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предоставление возможности удалённого информирования и обслуживания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повышение лояльности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Следующий класс – это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CRM-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действуют системы двух видов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Внутренняя система действует в рамках ОАО «АСБ Беларусбанк» и предоставляет информацию о сотрудниках Банка в виде карточки сотрудника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которой хранится информация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филиал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департамент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отдел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должность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рабочий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email,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номер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IP-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телефона и фотография сотрудника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Внешняя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CRM-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система хранит информацию о клиентах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розничных и корпоративных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 розничным клиентам имеется информация о доходах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семейном положении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кредитной истории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возрасте и других данных для корректного принятия решения по клиенту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 корпоративным клиентам содержится информация по кредитной истории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активам и пассивам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задолженностям клиента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информация аналогичная розничным клиентам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поскольку в сделке могут участвовать и физические лица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Клиент обязан предоставлять информацию по бухгалтерскому балансу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отчёту о прибылях и убытках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систему также поступает кредитная история клиента и информация об административной и уголовной ответственности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Важнейшим классом систем являются системы управления рисками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создана и функционирует эффективная система управления рисками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интегрированная в систему корпоративного управления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направленная на достижение следующих основных целей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обеспечение и поддержание приемлемого уровня рисков в рамках показателей толерантности к присущим рискам и аппетита к риску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обеспечение достаточности капитала для покрытия существенных и материальных рисков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обеспечение финансовой устойчивости Банка и банковского холдинга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минимизация возможных финансовых потерь от воздействия принимаемых рисков в соответствии со Стратегическим планом развития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выполнение требований государственных органов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регулирующих деятельность Банка и холдинга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выявление присущих Банку рисков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принятие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решений и осуществление ценообразования с учетом рисков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обеспечение прозрачности принимаемых рисков для акционеров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следование международным стандартам и лучшим практикам в области регулирования банковской деятельности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Управление кредитным риском организовано на уровне клиента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группы взаимосвязанных должников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 кредитного портфеля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Банке внедрена многоуровневая система лимитов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включающая как лимиты верхнего уровня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сублимиты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устанавливаемые на группы операций и отдельных контрагентов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позволяет минимизировать уровень кредитного риска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увеличивает скорость принятия решения и сокращает трудозатраты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действует система внутренних кредитных рейтингов и скоринговые модели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обеспечивающие дифференцированную оценку вероятности неисполнения обязательств контрагентами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рыночным риском организовано на основе как агрегированных метрик риска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метрик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привязанных к индивидуальным риск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факторам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процессы управления операционным риском вовлечены все подразделения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функционирует система сбора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обработки и анализа сведений об инцидентах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Ответственным лицом за управление рисками в банке является заместитель Председателя Правления Мельник Сергей Николаевич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который также курирует вопросы цифрового развития и информационных технологий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Банке используется корпоративная почта на базе платформы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 xml:space="preserve">Lotus Domino,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обеспечивающая внутренние коммуникации сотрудников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Активно в Беларусбанке развивается направление аналитики и хранения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В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2025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году успешно реализован проект по созданию единого комплекса решений корпоративного хранилища данных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Система КХД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автоматизирующего процессы получения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обработки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хранения и использования массива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Разработчиком системы выступила компания «Лаборатории Инвенто»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резидент Парка высоких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на базе программного продукта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nl-NL"/>
          <w14:textFill>
            <w14:solidFill>
              <w14:srgbClr w14:val="0F1115"/>
            </w14:solidFill>
          </w14:textFill>
        </w:rPr>
        <w:t xml:space="preserve">QuAnt Data Management (QuAnt DM)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комплексного управления и аналитики больших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Внедрение КХД в Беларусбанке помогло успешно автоматизировать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1,5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тысячи проверок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значительно повысив оперативность и точность аналитики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Система эффективно обрабатывает большие объемы информации и помогает в выявлении некорректностей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Комплекс предусматривает возможность быстрого доступа к оперативной и исторической отчетно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аналитической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подготовки аналитических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статистических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операционных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обязательных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регуляторных и управленческих отчетов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срезов по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 пользователей банковских систем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Корпоративное хранилище данных обеспечивает высокую доступность и производительность в условиях постоянно растущего объема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 также служит надежной технологической основой для решений в области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nl-NL"/>
          <w14:textFill>
            <w14:solidFill>
              <w14:srgbClr w14:val="0F1115"/>
            </w14:solidFill>
          </w14:textFill>
        </w:rPr>
        <w:t xml:space="preserve">Big Data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искусственного интеллекта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будущем планируется внедрение технологий искусственного интеллекта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направленных на предиктивную аналитику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оптимизацию работы с клиентами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персонификацию клиентских предложений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аналитической обработки данных и визуализации используются различные инструменты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аналитики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позволяющие создавать дашборды и аналитические отчеты для поддержки принятия управленческих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Наиболее развивающимся источником данных в компании являются озёра данных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nl-NL"/>
          <w14:textFill>
            <w14:solidFill>
              <w14:srgbClr w14:val="0F1115"/>
            </w14:solidFill>
          </w14:textFill>
        </w:rPr>
        <w:t xml:space="preserve">(Data Lake). Data Lake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– это система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обеспечивающая получение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обработку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хранение и использование всех данных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поступающих из различных источников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едином автоматизированном комплексе массива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возможностью быстрого доступа к оперативной и исторической отчётно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аналитической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подготовки аналитических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статистических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операционных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обязательных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регуляторных и управленческих отчётов и подготовленных срезов данных по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 пользователей банковских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ОАО «АСБ Беларусбанк» предлагает услуги по электронному документообороту для компаний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Разработаны специализированные решения для обмена данными с системами «Интернет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банк» и «Клиент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банк» на базе программных продуктов «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1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Бухгалтерия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8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it-IT"/>
          <w14:textFill>
            <w14:solidFill>
              <w14:srgbClr w14:val="0F1115"/>
            </w14:solidFill>
          </w14:textFill>
        </w:rPr>
        <w:t>для Беларуси» и «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1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 xml:space="preserve">:ERP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Управление предприятием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2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Беларуси»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позволяющие осуществлять выгрузку платежных документов и загрузку банковских выписок 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самом Банке действует система электронного документооборота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представляющая комплексную экосистему с возможностью автоматизации документооборота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модификации и поддержки программных продуктов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Ключевыми преимуществами данной системы являются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юридически значимый документооборот с помощью электронной цифровой подписи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создание территориально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распределённых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автоматизация договорной деятельности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гибкая лицензионная политика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организация совещаний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модульность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Система позволяет отслеживать весь путь прохождения документа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имеет встроенные шаблоны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адаптированные банком под ключевые и организационные моменты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систему уведомлений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интегрированную с рабочей почтой для напоминания сотрудникам о действиях с документами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Беларусбанке для интеграции систем используются современные подходы на базе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API.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Основные интеграции приложений и систем в Банке происходят через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API-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слой 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API-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интеграции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Одним из самых быстро развивающихся направлений в мире является искусственный интеллект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ОАО «АСБ Беларусбанк» также уделяет этому направлению значительное внимание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развиваются внутренние инструменты на базе 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предназначенные для решения рабочих задач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поиска документации и ответов на актуальные вопросы клиентов и сотрудников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Планируется развитие данного направления до уровня агентов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способных автоматизировать различные процессы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управления проектами в компании используются современные инструменты управления проектами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отслеживания актуальности задач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назначения ответственных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для хранения информации по проектам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Несмотря на высокий уровень автоматизации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отдельные процессы сохраняют потенциал для дальнейшей оптимизации и совершенствования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процессы поддержки пользователей собственных электронных информационных ресурсов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непосредственно связано с деятельностью Контакт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центра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где проходила практика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сформирована развитая и интегрированная система информационных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охватывающая фронтальные сервисы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, CRM-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системы управления рисками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современное корпоративное хранилище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озёра данных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электронный документооборот и интеграционные решения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Существенную роль в развитии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ландшафта играет внедрение технологий искусственного интеллекта и больших данных как во внешние продукты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 и во внутренние рабочие инструменты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Используемые информационные системы обеспечивают автоматизацию ключевых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поддержку управленческих и кредитных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интеграцию подразделений и соблюдение регуляторных требований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способствует устойчивости и технологическому развитию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</w:pPr>
    </w:p>
    <w:p>
      <w:pPr>
        <w:pStyle w:val="Подглавы"/>
      </w:pPr>
      <w:bookmarkStart w:name="_Toc9" w:id="9"/>
      <w:r>
        <w:rPr>
          <w:rStyle w:val="Нет"/>
          <w:rFonts w:cs="Arial Unicode MS" w:eastAsia="Arial Unicode MS"/>
          <w:rtl w:val="0"/>
          <w:lang w:val="ru-RU"/>
        </w:rPr>
        <w:t xml:space="preserve">2.4 </w:t>
      </w:r>
      <w:r>
        <w:rPr>
          <w:rStyle w:val="Нет"/>
          <w:rFonts w:cs="Arial Unicode MS" w:eastAsia="Arial Unicode MS" w:hint="default"/>
          <w:rtl w:val="0"/>
          <w:lang w:val="ru-RU"/>
        </w:rPr>
        <w:t>Анализ применяемых подходов к проектированию</w:t>
      </w:r>
      <w:r>
        <w:rPr>
          <w:rStyle w:val="Нет"/>
          <w:rFonts w:cs="Arial Unicode MS" w:eastAsia="Arial Unicode MS"/>
          <w:rtl w:val="0"/>
          <w:lang w:val="ru-RU"/>
        </w:rPr>
        <w:t xml:space="preserve">, </w:t>
      </w:r>
      <w:r>
        <w:rPr>
          <w:rStyle w:val="Нет"/>
          <w:rFonts w:cs="Arial Unicode MS" w:eastAsia="Arial Unicode MS" w:hint="default"/>
          <w:rtl w:val="0"/>
          <w:lang w:val="ru-RU"/>
        </w:rPr>
        <w:t>разработке</w:t>
      </w:r>
      <w:r>
        <w:rPr>
          <w:rStyle w:val="Нет"/>
          <w:rFonts w:cs="Arial Unicode MS" w:eastAsia="Arial Unicode MS"/>
          <w:rtl w:val="0"/>
          <w:lang w:val="ru-RU"/>
        </w:rPr>
        <w:t xml:space="preserve">, </w:t>
      </w:r>
      <w:r>
        <w:rPr>
          <w:rStyle w:val="Нет"/>
          <w:rFonts w:cs="Arial Unicode MS" w:eastAsia="Arial Unicode MS" w:hint="default"/>
          <w:rtl w:val="0"/>
          <w:lang w:val="ru-RU"/>
        </w:rPr>
        <w:t>тестированию</w:t>
      </w:r>
      <w:r>
        <w:rPr>
          <w:rStyle w:val="Нет"/>
          <w:rFonts w:cs="Arial Unicode MS" w:eastAsia="Arial Unicode MS"/>
          <w:rtl w:val="0"/>
          <w:lang w:val="ru-RU"/>
        </w:rPr>
        <w:t xml:space="preserve">, </w:t>
      </w:r>
      <w:r>
        <w:rPr>
          <w:rStyle w:val="Нет"/>
          <w:rFonts w:cs="Arial Unicode MS" w:eastAsia="Arial Unicode MS" w:hint="default"/>
          <w:rtl w:val="0"/>
          <w:lang w:val="ru-RU"/>
        </w:rPr>
        <w:t>внедрению и сопровождению ИС</w:t>
      </w:r>
      <w:bookmarkEnd w:id="9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используется процессный подход в управлении организацией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Управление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процессами или процессный подход на сегодняшний день является одной из наиболее востребованных и часто применяемых методологий управления компаниями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Управленческая концепция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>BPM 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от англ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. Business Process Management)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рассматривает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как важные ресурсы предприятия и предполагает управление ими как одну из ключевых организационных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Концепция предполагает внедрение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0F1115"/>
            </w14:solidFill>
          </w14:textFill>
        </w:rPr>
        <w:t>BPM-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решения для достижения следующих целей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:</w:t>
      </w:r>
    </w:p>
    <w:p>
      <w:pPr>
        <w:pStyle w:val="По умолчанию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скорость – сокращение времени выполнения процессов за счёт регламентации и автоматизации шагов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введения временных ограничений для исполнения шагов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качество – за счёт прозрачности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для всех участников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регламентации и средств мониторинга обеспечивается соблюдение всех предусмотренных правил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на основе показателей – выполнение процессов может контролироваться через наборы процессных показателей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отражают затраты на процесс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время выполнения и загрузку ресурсов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облегчая анализ и оптимизацию процесса на основании реальных значений показателей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;</w:t>
      </w:r>
    </w:p>
    <w:p>
      <w:pPr>
        <w:pStyle w:val="По умолчанию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гибкость – возможность достижения организационной гибкости компании через привлечение участников процессов к моделированию и перестройке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рамках процессного подхода информационные системы рассматриваются как инструмент реализации и поддержки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Банка на всех этапах их жизненного цикла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Проектирование любой системы в банке начинается с определения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потребностей заказчика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Заказчиками для Банка выступают внутренние стейкхолдеры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Председатель Правления и его заместители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различные департаменты и отделы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нуждающиеся в улучшении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оптимизации и создании новых систем для повышения скорости и качества работы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принятия решений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Все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потребности заказчиков обсуждаются с руководством для определения бюджета на их реализацию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представления экономической необходимости во внедрении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обновлении и инновации предлагаемых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После определения необходимости и её обоснования формулируются требования по доработке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обновлению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разработке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актуализации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основном требования пишутся со стороны специалистов того отдела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которого и будет вестись работа по системе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Поскольку данный процесс описывается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обязательным условием при разработке системы является учёт требований регуляторов и безопасности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Поэтому все процессы по разработке направляются либо в дочерние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компании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входящие в холдинг Беларусбанка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например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ЗАО «Банковско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финансовая сетевая компания»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либо разрабатываются внутренней командой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Основным подразделением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отвечающим за разработку и проектирование в Банке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соответствующий департамент в сфере информационных технологий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Ключевой методологией разработки в Банке является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Agile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 использованием фреймворка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fr-FR"/>
          <w14:textFill>
            <w14:solidFill>
              <w14:srgbClr w14:val="0F1115"/>
            </w14:solidFill>
          </w14:textFill>
        </w:rPr>
        <w:t xml:space="preserve">SCRUM.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основе данного подхода лежит итеративный подход с планированием итераций по две недели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каждом процессе по методологии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fr-FR"/>
          <w14:textFill>
            <w14:solidFill>
              <w14:srgbClr w14:val="0F1115"/>
            </w14:solidFill>
          </w14:textFill>
        </w:rPr>
        <w:t xml:space="preserve">SCRUM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имеется роль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product owner.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Функции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en-US"/>
          <w14:textFill>
            <w14:solidFill>
              <w14:srgbClr w14:val="0F1115"/>
            </w14:solidFill>
          </w14:textFill>
        </w:rPr>
        <w:t xml:space="preserve">product owner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проектах выполняют начальники департаментов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отделов и методологи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специалисты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наиболее активно взаимодействуют с разрабатываемыми системами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Разработка информационных систем в банке ориентирована на гибкие методологии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позволяющие оперативно адаптировать функциональность к изменяющимся требованиям бизнеса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Тестирование всех проектов происходит с двух сторон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Сначала команда разработки проверяет правильность работы системы на тест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кейсах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уже проведённой ручной выборки от заказчика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или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если разрабатывается новая система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происходит проверка её работоспособности и отказоустойчивости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Также отдел разработки отвечает за интеграцию разрабатываемой системы с другими системами Банка и внешними источниками информации от государственных органов и проверяет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данные подтягиваются корректно и не затрагивают смежные 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 стороны заказчика происходит дополнительное ручное регрессионное тестирование для проверки правильности отработки правил и логики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Проверка интеграций также возлагается на заказчика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Заказчик проверяет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что из систем поступают необходимые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определённые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данные для решения по кредитным заявкам или иным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случае обнаружения дефектов происходит быстрая обратная связь с командой разработки по необходимым изменениям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доработкам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настройке интеграций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в системе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Банке автоматическое тестирование используется ограниченно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многие проверки системы происходят ручным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Данное направление требует развития и увеличения доли автоматических тестов для повышения эффективности и скорости тестирования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Каждый этап тестирования и его результаты фиксируются в документах для представления аналитической информации по разработке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эксплуатации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внедрению и стабильности работы системы руководству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чтобы оценить работу команды разработки и подразделений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которые происходило внедрение 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Как правило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внедрение информационных систем осуществляется поэтапно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возможным использованием пилотных запусков на ограниченном числе пользователей или подразделений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Такой подход позволяет выявить потенциальные ошибки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проверить интеграцию с другими системами и несоответствия на ранних стадиях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скорректировать настройки системы и снизить риск негативного влияния на текущую деятельность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После успешного завершения пилотного этапа система масштабируется на остальные подразделения или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направления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Особое внимание в процессах внедрения уделяется управлению изменениями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Все изменения в информационных системах проходят путь определения необходимости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обсуждения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рассмотрения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одобрения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согласования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тестирования и утверждения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обеспечивает контролируемость внедрения и соответствие требованиям информационной безопасности и внутреннего контроля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Данный подход позволяет исключить несанкционированные изменения и сохранить целостность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инфраструктуры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Ещё одним важным элементом для внедрения систем является обучение пользователей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Для сотрудников регулярно проводятся обучающие встречи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курсы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инструктажи по работе с системами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предлагаются методические материалы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всех этапах внедрения системы происходит поддержка от команды разработки по пользованию системой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Заказчик уже при регулярном использовании системы проводит мониторинг её работы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Рассмотрим на примере систем поддержки пользователей собственных электронных информационных ресурсов принципы мониторинга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использовании систем происходит контроль доступности сервисов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корректности отображения информации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скорости ответа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наличия ошибок при выполнении операций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случаях обнаружения ошибок или несоответствий заводятся инциденты и происходит формирование обращений в систему управления проектами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например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, Jira)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команду разработчиков системы или на ответственных по доработкам системы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изменениями в Банке имеет определенные сложности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основной причиной которых является большое количество согласований и одобрений на каждом этапе процесса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монолитность некоторых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которые тяжелы к изменениям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Ещё одним фактором является значительная стоимость изменений в процессы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стоимость команды для разработки и стоимость привлечённой инфраструктуры для изменений в процессы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).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Ключевым фактором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влияющим на все процессы по проектированию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разработке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тестированию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внедрению и сопровождению ИС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является обеспечение безопасности и надёжности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поскольку Банк обладает значительным объёмом персональных данных клиентов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Все разрабатываемые процессы проходят через службу безопасности Банка и отдел по информационной безопасности с тестированием потенциальных утечек и защиты баз данных с персональными данными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Все существующие процессы в Банке должны соответствовать требованиям и стандартам Национального банка Республики Беларусь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применение процессного подхода в ОАО «АСБ Беларусбанк» обеспечивает системное и управляемое развитие информационных систем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тесно связанное с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потребностями и стратегическими целями банка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Использование концепции 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pt-PT"/>
          <w14:textFill>
            <w14:solidFill>
              <w14:srgbClr w14:val="0F1115"/>
            </w14:solidFill>
          </w14:textFill>
        </w:rPr>
        <w:t xml:space="preserve">BPM,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гибких методологий разработки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регламентированных процедур тестирования и внедрения позволяет обеспечивать устойчивость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надёжность и безопасность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решений при минимальном влиянии на текущие бизнес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то же время выявленные ограничения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связанные со сложностью управления изменениями и недостаточным уровнем автоматизации тестирования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формируют направления для дальнейшего совершенствования ИТ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практик и повышения эффективности сопровождения ключевых банковских процессов</w:t>
      </w:r>
      <w:r>
        <w:rPr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</w:pPr>
    </w:p>
    <w:p>
      <w:pPr>
        <w:pStyle w:val="Подглавы"/>
      </w:pPr>
      <w:bookmarkStart w:name="_Toc10" w:id="10"/>
      <w:r>
        <w:rPr>
          <w:rStyle w:val="Нет"/>
          <w:rFonts w:cs="Arial Unicode MS" w:eastAsia="Arial Unicode MS"/>
          <w:rtl w:val="0"/>
          <w:lang w:val="ru-RU"/>
        </w:rPr>
        <w:t xml:space="preserve">2.5 </w:t>
      </w:r>
      <w:r>
        <w:rPr>
          <w:rStyle w:val="Нет"/>
          <w:rFonts w:cs="Arial Unicode MS" w:eastAsia="Arial Unicode MS" w:hint="default"/>
          <w:rtl w:val="0"/>
          <w:lang w:val="ru-RU"/>
        </w:rPr>
        <w:t>Практика управления ИТ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проектами в ОАО «</w:t>
      </w:r>
      <w:r>
        <w:rPr>
          <w:rStyle w:val="Нет"/>
          <w:rFonts w:cs="Arial Unicode MS" w:eastAsia="Arial Unicode MS" w:hint="default"/>
          <w:rtl w:val="0"/>
        </w:rPr>
        <w:t>АСБ Беларусбанк</w:t>
      </w:r>
      <w:r>
        <w:rPr>
          <w:rStyle w:val="Нет"/>
          <w:rFonts w:cs="Arial Unicode MS" w:eastAsia="Arial Unicode MS" w:hint="default"/>
          <w:rtl w:val="0"/>
          <w:lang w:val="ru-RU"/>
        </w:rPr>
        <w:t>» и проведения аудита ИТ</w:t>
      </w:r>
      <w:bookmarkEnd w:id="10"/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Развитие собственных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проектов является одним из приоритетных направлений деятельности ОАО «АСБ Беларусбанк» на современном этапе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Банком были реализованы такие значимые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как автоматизированная информационная система «Корпоративное хранилище данных»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КХД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),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программный комплекс «Клиент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банк» для обслуживания счетов Лоро и Ностро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система дистанционного банковского обслуживания для юридических лиц «Программный комплекс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SC-Bank.360.Digital Channels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различные внутренние инструменты для автоматизации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Подтверждением успешности реализованных проектов служат пять первых мест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полученных банком на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IV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Республиканском конкурсе «Лидеры цифровой экономики –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2025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»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проекты являются важнейшими элементами реализации стратегии по цифровому развитию и повышению операционной деятельности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Большинство актуальных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проектов направлены на цифровизацию и автоматизацию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развитие клиентских сервисов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совершенствование систем управления рисками и обеспечение соответствия требованиям регуляторов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Реализация проектов осуществляется в тесной взаимосвязи с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подразделениями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обеспечивает ориентацию на практическую ценность и достижение измеримых результатов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ОАО «АСБ Беларусбанк» управление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проектами построено на основе формализованного жизненного цикла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включающем такие этапы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: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инициирование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планирование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разработка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тестирование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внедрение и сопровождение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Инициаторами проектов выступают в основном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подразделения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департаменты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заинтересованные в реализации собственных продуктов для оптимизации работы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инициализации проекта происходит согласование целей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бюджета и ожидаемого эффекта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После согласования инициатив и плана проекта с временными сроками проект передаётся в отдел разработки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С отделом разработчиков происходит регулярная коммуникация для отслеживания хода выполнения проекта и внесения изменений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правок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)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необходимости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Команда по проекту формируется согласно методологии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Agile,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фреймворку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SCRUM.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Такой подход обеспечивает прозрачность выполнения задач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регулярную отчётность и постоянную коммуникацию между бизнесом и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командой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 проекту назначают владельца продукта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 стороны заказчика или бизнеса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),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команду разработчиков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отвечающих за разработку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внедрение и сопровождение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специалистов по информационной безопасности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отвечающих за предотвращение утечек данных и контроль защиты системы от кибератак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Поскольку проект разрабатывается по методологии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Agile,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это ведёт к возможным регулярным изменениям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но так как организация является банком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все изменения необходимо фиксировать и запускать цепочку документации на согласование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одобрение и изменение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может замедлять реализацию проекта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Контроль реализации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проектов осуществляется на всех этапах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Оцениваются соблюдение сроков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бюджетные ограничения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качество разработанных решений и соответствие функциональных возможностей требованиям заказчика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Особое внимание уделяется управлению рисками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включая технологические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операционные и информационные риски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Все изменения в рамках проекта проходят процедуру согласования и тестирования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что позволяет минимизировать негативное влияние на действующие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процессы и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инфраструктуру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По контролю выполнения проекта создаются запросы в системе управления проектами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например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Jira)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 назначением исполнителей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автора запроса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наблюдателей – тех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 кого выполнение данного запроса может повлиять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Также в системе есть возможность назначения приоритетности по задачам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Ещё одним важным мероприятием в рамках Банка является регулярный аудит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структуре ОАО «АСБ Беларусбанк» функционирует Департамент внутреннего аудита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состав которого входит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частности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аудита информационных систем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Аудит в Банке подразделяется на внутренний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проводимый самим Банком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)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и внешний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от Национального банка Республики Беларусь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).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Основной целью проведения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аудита в Банке является оценка эффективности управления информационными технологиями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уровня зрелости процессов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надёжности информационных систем и соблюдения требований законодательства и регуляторов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процессе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аудита анализируются процессы разработки и сопровождения систем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управление доступом к данным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соответствие требованиям информационной безопасности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корректность функционирования ключевых банковских систем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Оценивается устойчивость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инфраструктуры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полнота документирования процессов и эффективность системы управления изменениями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 результатам аудита формируются рекомендации по устранению выявленных недостатков и повышению уровня зрелости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управления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Согласно официальной информации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Наблюдательный совет банка регулярно рассматривает управленческую отчетность по вопросам системы внутреннего аудита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Кроме того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при Наблюдательном совете функционирует Аудиторский комитет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который в первом полугодии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2025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года провел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13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заседаний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Важно отметить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что в ОАО «АСБ Беларусбанк» ещё в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2015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году был реализован проект по созданию Автоматизированной системы управления информационными технологиями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рамках которого были разработаны и автоматизированы базовые процессы управления ИТ в соответствии с рекомендациями библиотеки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ITIL v3: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взаимодействием с пользователем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услуг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инцидентами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запросами на обслуживание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 управления релизами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Созданная система представляет собой единое информационное пространство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обеспечивающее автоматизацию и контроль процессов управления ИТ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В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2017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году система была оптимизирована и расширена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: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добавлены процессы управления активами и конфигурациями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управления изменениями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внедрен функционал умной аналитики для оптимизации регистрации и маршрутизации обращений пользователей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 настоящее время банк продолжает развитие этой системы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 чём свидетельствуют проводимые конкурсы на услуги по технической поддержке программного обеспечения Автоматизированной системы управления информационными технологиями 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jc w:val="both"/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outline w:val="0"/>
          <w:color w:val="0f1115"/>
          <w:sz w:val="28"/>
          <w:szCs w:val="28"/>
          <w:shd w:val="clear" w:color="auto" w:fill="ffffff"/>
          <w:lang w:val="ru-RU"/>
          <w14:textFill>
            <w14:solidFill>
              <w14:srgbClr w14:val="0F1115"/>
            </w14:solidFill>
          </w14:textFill>
        </w:rPr>
        <w:tab/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Таким образом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практика управления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проектами в ОАО «АСБ Беларусбанк» характеризуется высоким уровнем формализации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ориентацией на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результат и использованием современных гибких методологий разработки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Взаимодействие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подразделений с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заказчиками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поэтапный контроль реализации проектов и обязательное соблюдение требований информационной безопасности обеспечивают устойчивость и надёжность внедряемых решений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Проведение регулярного внутреннего и внешнего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аудита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наличие специализированного управления аудита информационных систем в структуре Департамента внутреннего аудита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а также функционирование Аудиторского комитета при Наблюдательном совете позволяют своевременно выявлять риски и недостатки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повышать зрелость ИТ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и обеспечивать соответствие деятельности банка требованиям регуляторов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Многолетний опыт автоматизации процессов управления ИТ на базе 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 xml:space="preserve">ITIL v3 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и их постоянное совершенствование способствуют эффективному цифровому развитию и поддержке ключевых бизнес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-</w:t>
      </w:r>
      <w:r>
        <w:rPr>
          <w:rStyle w:val="Нет"/>
          <w:rFonts w:ascii="Times New Roman" w:hAnsi="Times New Roman" w:hint="default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процессов банка</w:t>
      </w:r>
      <w:r>
        <w:rPr>
          <w:rStyle w:val="Нет"/>
          <w:rFonts w:ascii="Times New Roman" w:hAnsi="Times New Roman"/>
          <w:outline w:val="0"/>
          <w:color w:val="0f1115"/>
          <w:sz w:val="28"/>
          <w:szCs w:val="28"/>
          <w:shd w:val="clear" w:color="auto" w:fill="ffffff"/>
          <w:rtl w:val="0"/>
          <w:lang w:val="ru-RU"/>
          <w14:textFill>
            <w14:solidFill>
              <w14:srgbClr w14:val="0F1115"/>
            </w14:solidFill>
          </w14:textFill>
        </w:rPr>
        <w:t>.</w:t>
      </w:r>
    </w:p>
    <w:p>
      <w:pPr>
        <w:pStyle w:val="Normal.0"/>
      </w:pPr>
    </w:p>
    <w:p>
      <w:pPr>
        <w:pStyle w:val="Подглавы"/>
        <w:ind w:firstLine="0"/>
      </w:pP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11" w:id="11"/>
      <w:r>
        <w:rPr>
          <w:rStyle w:val="Нет"/>
          <w:rFonts w:cs="Arial Unicode MS" w:eastAsia="Arial Unicode MS"/>
          <w:rtl w:val="0"/>
          <w:lang w:val="ru-RU"/>
        </w:rPr>
        <w:t xml:space="preserve">3. </w:t>
      </w:r>
      <w:r>
        <w:rPr>
          <w:rStyle w:val="Нет"/>
          <w:rFonts w:cs="Arial Unicode MS" w:eastAsia="Arial Unicode MS" w:hint="default"/>
          <w:rtl w:val="0"/>
          <w:lang w:val="ru-RU"/>
        </w:rPr>
        <w:t>Повышение эффективности используемых информационных технологий и систем</w:t>
      </w:r>
      <w:bookmarkEnd w:id="11"/>
    </w:p>
    <w:p>
      <w:pPr>
        <w:pStyle w:val="Подглавы"/>
      </w:pPr>
      <w:bookmarkStart w:name="_Toc12" w:id="12"/>
      <w:r>
        <w:rPr>
          <w:rStyle w:val="Нет"/>
          <w:rFonts w:cs="Arial Unicode MS" w:eastAsia="Arial Unicode MS"/>
          <w:rtl w:val="0"/>
          <w:lang w:val="ru-RU"/>
        </w:rPr>
        <w:t xml:space="preserve">3.1 </w:t>
      </w:r>
      <w:r>
        <w:rPr>
          <w:rStyle w:val="Нет"/>
          <w:rFonts w:cs="Arial Unicode MS" w:eastAsia="Arial Unicode MS" w:hint="default"/>
          <w:rtl w:val="0"/>
          <w:lang w:val="ru-RU"/>
        </w:rPr>
        <w:t>Характеристика стратегического планирования развития ИТ в соответствии с бизнес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целями организации</w:t>
      </w:r>
      <w:bookmarkEnd w:id="12"/>
    </w:p>
    <w:p>
      <w:pPr>
        <w:pStyle w:val="Подглавы"/>
      </w:pPr>
      <w:bookmarkStart w:name="_Toc13" w:id="13"/>
      <w:r>
        <w:rPr>
          <w:rStyle w:val="Нет"/>
          <w:rFonts w:cs="Arial Unicode MS" w:eastAsia="Arial Unicode MS"/>
          <w:rtl w:val="0"/>
          <w:lang w:val="ru-RU"/>
        </w:rPr>
        <w:t xml:space="preserve">3.2 </w:t>
      </w:r>
      <w:r>
        <w:rPr>
          <w:rStyle w:val="Нет"/>
          <w:rFonts w:cs="Arial Unicode MS" w:eastAsia="Arial Unicode MS" w:hint="default"/>
          <w:rtl w:val="0"/>
          <w:lang w:val="ru-RU"/>
        </w:rPr>
        <w:t>Предложения по совершенствованию ИТ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архитектуры организации</w:t>
      </w:r>
      <w:bookmarkEnd w:id="13"/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</w:p>
    <w:p>
      <w:pPr>
        <w:pStyle w:val="heading 1"/>
      </w:pPr>
      <w:bookmarkStart w:name="_Toc14" w:id="14"/>
      <w:r>
        <w:rPr>
          <w:rStyle w:val="Нет"/>
          <w:rFonts w:cs="Arial Unicode MS" w:eastAsia="Arial Unicode MS"/>
          <w:rtl w:val="0"/>
          <w:lang w:val="ru-RU"/>
        </w:rPr>
        <w:t xml:space="preserve">4. </w:t>
      </w:r>
      <w:r>
        <w:rPr>
          <w:rStyle w:val="Нет"/>
          <w:rFonts w:cs="Arial Unicode MS" w:eastAsia="Arial Unicode MS" w:hint="default"/>
          <w:rtl w:val="0"/>
          <w:lang w:val="ru-RU"/>
        </w:rPr>
        <w:t>Отчёт о выполнении индивидуального задания</w:t>
      </w:r>
      <w:bookmarkEnd w:id="14"/>
    </w:p>
    <w:p>
      <w:pPr>
        <w:pStyle w:val="Подглавы"/>
      </w:pPr>
      <w:bookmarkStart w:name="_Toc15" w:id="15"/>
      <w:r>
        <w:rPr>
          <w:rStyle w:val="Нет"/>
          <w:rFonts w:cs="Arial Unicode MS" w:eastAsia="Arial Unicode MS"/>
          <w:rtl w:val="0"/>
          <w:lang w:val="ru-RU"/>
        </w:rPr>
        <w:t xml:space="preserve">4.1 </w:t>
      </w:r>
      <w:r>
        <w:rPr>
          <w:rStyle w:val="Нет"/>
          <w:rFonts w:cs="Arial Unicode MS" w:eastAsia="Arial Unicode MS" w:hint="default"/>
          <w:rtl w:val="0"/>
          <w:lang w:val="ru-RU"/>
        </w:rPr>
        <w:t>Проведение анализа и моделирования бизнес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процессов организации</w:t>
      </w:r>
      <w:r>
        <w:rPr>
          <w:rStyle w:val="Нет"/>
          <w:rFonts w:cs="Arial Unicode MS" w:eastAsia="Arial Unicode MS" w:hint="default"/>
          <w:rtl w:val="0"/>
          <w:lang w:val="ru-RU"/>
        </w:rPr>
        <w:t>ы</w:t>
      </w:r>
      <w:bookmarkEnd w:id="15"/>
    </w:p>
    <w:p>
      <w:pPr>
        <w:pStyle w:val="Подглавы"/>
      </w:pPr>
      <w:bookmarkStart w:name="_Toc16" w:id="16"/>
      <w:r>
        <w:rPr>
          <w:rStyle w:val="Нет"/>
          <w:rFonts w:cs="Arial Unicode MS" w:eastAsia="Arial Unicode MS"/>
          <w:rtl w:val="0"/>
          <w:lang w:val="ru-RU"/>
        </w:rPr>
        <w:t xml:space="preserve">4.2 </w:t>
      </w:r>
      <w:r>
        <w:rPr>
          <w:rStyle w:val="Нет"/>
          <w:rFonts w:cs="Arial Unicode MS" w:eastAsia="Arial Unicode MS" w:hint="default"/>
          <w:rtl w:val="0"/>
          <w:lang w:val="ru-RU"/>
        </w:rPr>
        <w:t>Выявление направления совершенствования бизнес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процессов организации ОАО «</w:t>
      </w:r>
      <w:r>
        <w:rPr>
          <w:rStyle w:val="Нет"/>
          <w:rFonts w:cs="Arial Unicode MS" w:eastAsia="Arial Unicode MS" w:hint="default"/>
          <w:rtl w:val="0"/>
          <w:lang w:val="ru-RU"/>
        </w:rPr>
        <w:t>АСБ Беларусбанк</w:t>
      </w:r>
      <w:r>
        <w:rPr>
          <w:rStyle w:val="Нет"/>
          <w:rFonts w:cs="Arial Unicode MS" w:eastAsia="Arial Unicode MS" w:hint="default"/>
          <w:rtl w:val="0"/>
          <w:lang w:val="ru-RU"/>
        </w:rPr>
        <w:t>»</w:t>
      </w:r>
      <w:bookmarkEnd w:id="16"/>
    </w:p>
    <w:p>
      <w:pPr>
        <w:pStyle w:val="Подглавы"/>
      </w:pPr>
      <w:bookmarkStart w:name="_Toc17" w:id="17"/>
      <w:r>
        <w:rPr>
          <w:rStyle w:val="Нет"/>
          <w:rFonts w:cs="Arial Unicode MS" w:eastAsia="Arial Unicode MS"/>
          <w:rtl w:val="0"/>
          <w:lang w:val="ru-RU"/>
        </w:rPr>
        <w:t xml:space="preserve">4.3 </w:t>
      </w:r>
      <w:r>
        <w:rPr>
          <w:rStyle w:val="Нет"/>
          <w:rFonts w:cs="Arial Unicode MS" w:eastAsia="Arial Unicode MS" w:hint="default"/>
          <w:rtl w:val="0"/>
          <w:lang w:val="ru-RU"/>
        </w:rPr>
        <w:t>Разработка предложений по совершенствованию бизнес</w:t>
      </w:r>
      <w:r>
        <w:rPr>
          <w:rStyle w:val="Нет"/>
          <w:rFonts w:cs="Arial Unicode MS" w:eastAsia="Arial Unicode MS"/>
          <w:rtl w:val="0"/>
          <w:lang w:val="ru-RU"/>
        </w:rPr>
        <w:t>-</w:t>
      </w:r>
      <w:r>
        <w:rPr>
          <w:rStyle w:val="Нет"/>
          <w:rFonts w:cs="Arial Unicode MS" w:eastAsia="Arial Unicode MS" w:hint="default"/>
          <w:rtl w:val="0"/>
          <w:lang w:val="ru-RU"/>
        </w:rPr>
        <w:t>процессов с применением ИТ и ИС</w:t>
      </w:r>
      <w:bookmarkEnd w:id="17"/>
    </w:p>
    <w:p>
      <w:pPr>
        <w:pStyle w:val="Подглавы"/>
      </w:pPr>
      <w:bookmarkStart w:name="_Toc18" w:id="18"/>
      <w:r>
        <w:rPr>
          <w:rStyle w:val="Нет"/>
          <w:rFonts w:cs="Arial Unicode MS" w:eastAsia="Arial Unicode MS"/>
          <w:rtl w:val="0"/>
          <w:lang w:val="ru-RU"/>
        </w:rPr>
        <w:t xml:space="preserve">4.4 </w:t>
      </w:r>
      <w:r>
        <w:rPr>
          <w:rStyle w:val="Нет"/>
          <w:rFonts w:cs="Arial Unicode MS" w:eastAsia="Arial Unicode MS" w:hint="default"/>
          <w:rtl w:val="0"/>
          <w:lang w:val="ru-RU"/>
        </w:rPr>
        <w:t>Составление технического задания на разработку и модернизацию ИС</w:t>
      </w:r>
      <w:bookmarkEnd w:id="18"/>
    </w:p>
    <w:p>
      <w:pPr>
        <w:pStyle w:val="Normal.0"/>
      </w:pP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19" w:id="19"/>
      <w:r>
        <w:rPr>
          <w:rStyle w:val="Нет"/>
          <w:rFonts w:cs="Arial Unicode MS" w:eastAsia="Arial Unicode MS" w:hint="default"/>
          <w:rtl w:val="0"/>
          <w:lang w:val="ru-RU"/>
        </w:rPr>
        <w:t>ЗАКЛЮЧЕНИЕ</w:t>
      </w:r>
      <w:bookmarkEnd w:id="19"/>
    </w:p>
    <w:p>
      <w:pPr>
        <w:pStyle w:val="Normal.0"/>
      </w:pPr>
      <w:r>
        <w:rPr>
          <w:rStyle w:val="Нет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bookmarkStart w:name="_Toc20" w:id="20"/>
      <w:r>
        <w:rPr>
          <w:rStyle w:val="Нет"/>
          <w:rFonts w:cs="Arial Unicode MS" w:eastAsia="Arial Unicode MS" w:hint="default"/>
          <w:rtl w:val="0"/>
          <w:lang w:val="ru-RU"/>
        </w:rPr>
        <w:t>СПИСОК ИСПОЛЬЗОВАННЫХ ИСТОЧНИКОВ</w:t>
      </w:r>
      <w:bookmarkEnd w:id="20"/>
    </w:p>
    <w:p>
      <w:pPr>
        <w:pStyle w:val="Normal.0"/>
      </w:pPr>
      <w:r>
        <w:rPr>
          <w:rStyle w:val="Нет"/>
          <w:rtl w:val="0"/>
          <w:lang w:val="ru-RU"/>
        </w:rPr>
        <w:t xml:space="preserve">1. </w:t>
      </w:r>
      <w:r>
        <w:rPr>
          <w:rStyle w:val="Нет"/>
          <w:rtl w:val="0"/>
          <w:lang w:val="ru-RU"/>
        </w:rPr>
        <w:t>Устав открытого акционерного общества «Сбер Банк»</w:t>
      </w:r>
      <w:r>
        <w:rPr>
          <w:rStyle w:val="Нет"/>
          <w:rtl w:val="0"/>
          <w:lang w:val="ru-RU"/>
        </w:rPr>
        <w:t xml:space="preserve">, 25 </w:t>
      </w:r>
      <w:r>
        <w:rPr>
          <w:rStyle w:val="Нет"/>
          <w:rtl w:val="0"/>
          <w:lang w:val="ru-RU"/>
        </w:rPr>
        <w:t>мар</w:t>
      </w:r>
      <w:r>
        <w:rPr>
          <w:rStyle w:val="Нет"/>
          <w:rtl w:val="0"/>
          <w:lang w:val="ru-RU"/>
        </w:rPr>
        <w:t xml:space="preserve">. 2011 </w:t>
      </w:r>
      <w:r>
        <w:rPr>
          <w:rStyle w:val="Нет"/>
          <w:rtl w:val="0"/>
          <w:lang w:val="ru-RU"/>
        </w:rPr>
        <w:t>г</w:t>
      </w:r>
      <w:r>
        <w:rPr>
          <w:rStyle w:val="Нет"/>
          <w:rtl w:val="0"/>
          <w:lang w:val="ru-RU"/>
        </w:rPr>
        <w:t xml:space="preserve">., </w:t>
      </w:r>
      <w:r>
        <w:rPr>
          <w:rStyle w:val="Нет"/>
          <w:rtl w:val="0"/>
          <w:lang w:val="ru-RU"/>
        </w:rPr>
        <w:t>протокол №</w:t>
      </w:r>
      <w:r>
        <w:rPr>
          <w:rStyle w:val="Нет"/>
          <w:rtl w:val="0"/>
          <w:lang w:val="ru-RU"/>
        </w:rPr>
        <w:t>3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/ </w:t>
      </w:r>
      <w:r>
        <w:rPr>
          <w:rStyle w:val="Нет"/>
          <w:rtl w:val="0"/>
          <w:lang w:val="ru-RU"/>
        </w:rPr>
        <w:t xml:space="preserve">ОАО «Сбер Банк»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28.01.2026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2. </w:t>
      </w:r>
      <w:r>
        <w:rPr>
          <w:rStyle w:val="Нет"/>
          <w:rtl w:val="0"/>
          <w:lang w:val="ru-RU"/>
        </w:rPr>
        <w:t xml:space="preserve">Сбер Банк сегодня </w:t>
      </w:r>
      <w:bookmarkStart w:name="_Hlk220441162" w:id="21"/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>:</w:t>
      </w:r>
      <w:bookmarkEnd w:id="21"/>
      <w:r>
        <w:rPr>
          <w:rStyle w:val="Нет"/>
          <w:rtl w:val="0"/>
          <w:lang w:val="ru-RU"/>
        </w:rPr>
        <w:t xml:space="preserve"> </w:t>
      </w:r>
      <w:r>
        <w:rPr>
          <w:rStyle w:val="Hyperlink.0"/>
          <w:lang w:val="en-US"/>
        </w:rPr>
        <w:fldChar w:fldCharType="begin" w:fldLock="0"/>
      </w:r>
      <w:r>
        <w:rPr>
          <w:rStyle w:val="Hyperlink.0"/>
          <w:lang w:val="en-US"/>
        </w:rPr>
        <w:instrText xml:space="preserve"> HYPERLINK "https://www.sber-bank.by/page/bank-today"</w:instrText>
      </w:r>
      <w:r>
        <w:rPr>
          <w:rStyle w:val="Hyperlink.0"/>
          <w:lang w:val="en-US"/>
        </w:rPr>
        <w:fldChar w:fldCharType="separate" w:fldLock="0"/>
      </w:r>
      <w:r>
        <w:rPr>
          <w:rStyle w:val="Hyperlink.0"/>
          <w:rtl w:val="0"/>
          <w:lang w:val="en-US"/>
        </w:rPr>
        <w:t>https</w:t>
      </w:r>
      <w:r>
        <w:rPr>
          <w:rStyle w:val="Ссылка"/>
          <w:rtl w:val="0"/>
          <w:lang w:val="ru-RU"/>
        </w:rPr>
        <w:t>://</w:t>
      </w:r>
      <w:r>
        <w:rPr>
          <w:rStyle w:val="Hyperlink.0"/>
          <w:rtl w:val="0"/>
          <w:lang w:val="en-US"/>
        </w:rPr>
        <w:t>www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sber</w:t>
      </w:r>
      <w:r>
        <w:rPr>
          <w:rStyle w:val="Ссылка"/>
          <w:rtl w:val="0"/>
          <w:lang w:val="ru-RU"/>
        </w:rPr>
        <w:t>-</w:t>
      </w:r>
      <w:r>
        <w:rPr>
          <w:rStyle w:val="Hyperlink.0"/>
          <w:rtl w:val="0"/>
          <w:lang w:val="en-US"/>
        </w:rPr>
        <w:t>bank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by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page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bank</w:t>
      </w:r>
      <w:r>
        <w:rPr>
          <w:rStyle w:val="Ссылка"/>
          <w:rtl w:val="0"/>
          <w:lang w:val="ru-RU"/>
        </w:rPr>
        <w:t>-</w:t>
      </w:r>
      <w:r>
        <w:rPr>
          <w:rStyle w:val="Hyperlink.0"/>
          <w:rtl w:val="0"/>
          <w:lang w:val="en-US"/>
        </w:rPr>
        <w:t>today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</w:t>
      </w:r>
      <w:bookmarkStart w:name="_Hlk220444520" w:id="22"/>
      <w:r>
        <w:rPr>
          <w:rStyle w:val="Нет"/>
          <w:rtl w:val="0"/>
          <w:lang w:val="ru-RU"/>
        </w:rPr>
        <w:t>– Дата доступа</w:t>
      </w:r>
      <w:r>
        <w:rPr>
          <w:rStyle w:val="Нет"/>
          <w:rtl w:val="0"/>
          <w:lang w:val="ru-RU"/>
        </w:rPr>
        <w:t>: 27.01.2026</w:t>
      </w:r>
      <w:bookmarkEnd w:id="22"/>
    </w:p>
    <w:p>
      <w:pPr>
        <w:pStyle w:val="Normal.0"/>
      </w:pPr>
      <w:r>
        <w:rPr>
          <w:rStyle w:val="Нет"/>
          <w:rtl w:val="0"/>
          <w:lang w:val="ru-RU"/>
        </w:rPr>
        <w:t xml:space="preserve">3. </w:t>
      </w:r>
      <w:r>
        <w:rPr>
          <w:rStyle w:val="Нет"/>
          <w:rtl w:val="0"/>
          <w:lang w:val="ru-RU"/>
        </w:rPr>
        <w:t xml:space="preserve">Миссия и ценности Банка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Hyperlink.0"/>
          <w:lang w:val="en-US"/>
        </w:rPr>
        <w:fldChar w:fldCharType="begin" w:fldLock="0"/>
      </w:r>
      <w:r>
        <w:rPr>
          <w:rStyle w:val="Hyperlink.0"/>
          <w:lang w:val="en-US"/>
        </w:rPr>
        <w:instrText xml:space="preserve"> HYPERLINK "https://www.sber-bank.by/page/mission-values"</w:instrText>
      </w:r>
      <w:r>
        <w:rPr>
          <w:rStyle w:val="Hyperlink.0"/>
          <w:lang w:val="en-US"/>
        </w:rPr>
        <w:fldChar w:fldCharType="separate" w:fldLock="0"/>
      </w:r>
      <w:r>
        <w:rPr>
          <w:rStyle w:val="Hyperlink.0"/>
          <w:rtl w:val="0"/>
          <w:lang w:val="en-US"/>
        </w:rPr>
        <w:t>https</w:t>
      </w:r>
      <w:r>
        <w:rPr>
          <w:rStyle w:val="Ссылка"/>
          <w:rtl w:val="0"/>
          <w:lang w:val="ru-RU"/>
        </w:rPr>
        <w:t>://</w:t>
      </w:r>
      <w:r>
        <w:rPr>
          <w:rStyle w:val="Hyperlink.0"/>
          <w:rtl w:val="0"/>
          <w:lang w:val="en-US"/>
        </w:rPr>
        <w:t>www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sber</w:t>
      </w:r>
      <w:r>
        <w:rPr>
          <w:rStyle w:val="Ссылка"/>
          <w:rtl w:val="0"/>
          <w:lang w:val="ru-RU"/>
        </w:rPr>
        <w:t>-</w:t>
      </w:r>
      <w:r>
        <w:rPr>
          <w:rStyle w:val="Hyperlink.0"/>
          <w:rtl w:val="0"/>
          <w:lang w:val="en-US"/>
        </w:rPr>
        <w:t>bank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by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page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mission</w:t>
      </w:r>
      <w:r>
        <w:rPr>
          <w:rStyle w:val="Ссылка"/>
          <w:rtl w:val="0"/>
          <w:lang w:val="ru-RU"/>
        </w:rPr>
        <w:t>-</w:t>
      </w:r>
      <w:r>
        <w:rPr>
          <w:rStyle w:val="Hyperlink.0"/>
          <w:rtl w:val="0"/>
          <w:lang w:val="en-US"/>
        </w:rPr>
        <w:t>values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– Дата доступа</w:t>
      </w:r>
      <w:r>
        <w:rPr>
          <w:rStyle w:val="Нет"/>
          <w:rtl w:val="0"/>
          <w:lang w:val="ru-RU"/>
        </w:rPr>
        <w:t>: 27.01.2026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4. </w:t>
      </w:r>
      <w:r>
        <w:rPr>
          <w:rStyle w:val="Нет"/>
          <w:rtl w:val="0"/>
          <w:lang w:val="ru-RU"/>
        </w:rPr>
        <w:t xml:space="preserve">ОАО «Сбер Банк»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 xml:space="preserve">Устойчивое развитие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"https://www.sber-bank.by/esg-enviroment"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https://www.sber-bank.by/esg-enviroment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27.01.2026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5. </w:t>
      </w:r>
      <w:r>
        <w:rPr>
          <w:rStyle w:val="Нет"/>
          <w:rtl w:val="0"/>
          <w:lang w:val="ru-RU"/>
        </w:rPr>
        <w:t xml:space="preserve">ОАО «Сбер Банк» </w:t>
      </w:r>
      <w:r>
        <w:rPr>
          <w:rStyle w:val="Нет"/>
          <w:rtl w:val="0"/>
          <w:lang w:val="ru-RU"/>
        </w:rPr>
        <w:t xml:space="preserve">- </w:t>
      </w:r>
      <w:r>
        <w:rPr>
          <w:rStyle w:val="Нет"/>
          <w:rtl w:val="0"/>
          <w:lang w:val="ru-RU"/>
        </w:rPr>
        <w:t xml:space="preserve">достижения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"https://www.sber-bank.by/page/achievements"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https://www.sber-bank.by/page/achievements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28.01.2026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6. </w:t>
      </w:r>
      <w:r>
        <w:rPr>
          <w:rStyle w:val="Нет"/>
          <w:rtl w:val="0"/>
          <w:lang w:val="ru-RU"/>
        </w:rPr>
        <w:t xml:space="preserve">Бухгалтерский баланс ОАО Сбер Банк на </w:t>
      </w:r>
      <w:r>
        <w:rPr>
          <w:rStyle w:val="Нет"/>
          <w:rtl w:val="0"/>
          <w:lang w:val="ru-RU"/>
        </w:rPr>
        <w:t>30.09.2025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"https://www.sber-bank.by/files/up/49838/1_%25D1%2584%25D0%25BE%25D1%2580%25D0%25BC%25D0%25B0_%25D0%2591%25D1%2583%25D1%2585.%25D0%25B1%25D0%25B0%25D0%25BB%25D0%25B0%25D0%25BD%25D1%2581_30.09.2025.pdf"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https://www.sber-bank.by/files/up/49838/1_</w:t>
      </w:r>
      <w:r>
        <w:rPr>
          <w:rStyle w:val="Ссылка"/>
          <w:rtl w:val="0"/>
        </w:rPr>
        <w:t>форма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Бух</w:t>
      </w:r>
      <w:r>
        <w:rPr>
          <w:rStyle w:val="Ссылка"/>
          <w:rtl w:val="0"/>
        </w:rPr>
        <w:t>.</w:t>
      </w:r>
      <w:r>
        <w:rPr>
          <w:rStyle w:val="Ссылка"/>
          <w:rtl w:val="0"/>
        </w:rPr>
        <w:t>баланс</w:t>
      </w:r>
      <w:r>
        <w:rPr>
          <w:rStyle w:val="Ссылка"/>
          <w:rtl w:val="0"/>
        </w:rPr>
        <w:t>_30.09.2025.pdf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29.01.2026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7. </w:t>
      </w:r>
      <w:r>
        <w:rPr>
          <w:rStyle w:val="Нет"/>
          <w:rtl w:val="0"/>
          <w:lang w:val="ru-RU"/>
        </w:rPr>
        <w:t xml:space="preserve">Бухгалтерский баланс ОАО Сбер Банк на </w:t>
      </w:r>
      <w:r>
        <w:rPr>
          <w:rStyle w:val="Нет"/>
          <w:rtl w:val="0"/>
          <w:lang w:val="ru-RU"/>
        </w:rPr>
        <w:t>31.12.2024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files/up/47964/%25D0%2591%25D0%25B0%25D0%25BB%25D0%25B0%25D0%25BD%25D1%2581_%25D0%259E%25D0%2590%25D0%259E_%25D0%25A1%25D0%25B1%25D0%25B5%25D1%2580_%25D0%2591%25D0%25B0%25D0%25BD%25D0%25BA_%25D0%25BD%25D0%25B0_31.12.2024_%25D0%25B3%25D0%25BE%25D0%25B4%25D0%25B0.pdf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https://www.sber-bank.by/files/up/47964/</w:t>
      </w:r>
      <w:r>
        <w:rPr>
          <w:rStyle w:val="Ссылка"/>
          <w:rtl w:val="0"/>
        </w:rPr>
        <w:t>Баланс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ОАО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Сбер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Банк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на</w:t>
      </w:r>
      <w:r>
        <w:rPr>
          <w:rStyle w:val="Ссылка"/>
          <w:rtl w:val="0"/>
        </w:rPr>
        <w:t>_31.12.2024_</w:t>
      </w:r>
      <w:r>
        <w:rPr>
          <w:rStyle w:val="Ссылка"/>
          <w:rtl w:val="0"/>
        </w:rPr>
        <w:t>года</w:t>
      </w:r>
      <w:r>
        <w:rPr>
          <w:rStyle w:val="Ссылка"/>
          <w:rtl w:val="0"/>
        </w:rPr>
        <w:t>.pdf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29.01.2026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8. </w:t>
      </w:r>
      <w:r>
        <w:rPr>
          <w:rStyle w:val="Нет"/>
          <w:rtl w:val="0"/>
          <w:lang w:val="ru-RU"/>
        </w:rPr>
        <w:t xml:space="preserve">Отчёт о прибылях и убытках ОАО «Сбер Банк» на </w:t>
      </w:r>
      <w:r>
        <w:rPr>
          <w:rStyle w:val="Нет"/>
          <w:rtl w:val="0"/>
          <w:lang w:val="ru-RU"/>
        </w:rPr>
        <w:t>30.09.2025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files/up/49839/2_%25D1%2584%25D0%25BE%25D1%2580%25D0%25BC%25D0%25B0_%25D0%259E%25D0%259F%25D0%25A3_%25D0%25B7%25D0%25B0_%25D1%258F%25D0%25BD%25D0%25B2%25D0%25B0%25D1%2580%25D1%258C_%25D1%2581%25D0%25B5%25D0%25BD%25D1%2582%25D1%258F%25D0%25B1%25D1%2580%25D1%258C_2025.pdf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https://www.sber-bank.by/files/up/49839/2_</w:t>
      </w:r>
      <w:r>
        <w:rPr>
          <w:rStyle w:val="Ссылка"/>
          <w:rtl w:val="0"/>
        </w:rPr>
        <w:t>форма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ОПУ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за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январь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сентябрь</w:t>
      </w:r>
      <w:r>
        <w:rPr>
          <w:rStyle w:val="Ссылка"/>
          <w:rtl w:val="0"/>
        </w:rPr>
        <w:t>_2025.pdf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30.01.2026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9. </w:t>
      </w:r>
      <w:r>
        <w:rPr>
          <w:rStyle w:val="Нет"/>
          <w:rtl w:val="0"/>
          <w:lang w:val="ru-RU"/>
        </w:rPr>
        <w:t xml:space="preserve">Отчёт о прибылях и убытках ОАО «Сбер Банк» на </w:t>
      </w:r>
      <w:r>
        <w:rPr>
          <w:rStyle w:val="Нет"/>
          <w:rtl w:val="0"/>
          <w:lang w:val="ru-RU"/>
        </w:rPr>
        <w:t>31.12.2024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files/up/47966/%25D0%259E%25D1%2582%25D1%2587%25D0%25B5%25D1%2582_%25D0%25BE_%25D0%25BF%25D1%2580%25D0%25B8%25D0%25B1%25D1%258B%25D0%25BB%25D1%258F%25D1%2585_%25D0%25B8_%25D1%2583%25D0%25B1%25D1%258B%25D1%2582%25D0%25BA%25D0%25B0%25D1%2585_%25D0%259E%25D0%2590%25D0%259E_%25D0%25A1%25D0%25B1%25D0%25B5%25D1%2580_%25D0%2591%25D0%25B0%25D0%25BD%25D0%25BA_%25D0%25B7%25D0%25B0_2024_%25D0%25B3%25D0%25BE%25D0%25B4.pdf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https://www.sber-bank.by/files/up/47966/</w:t>
      </w:r>
      <w:r>
        <w:rPr>
          <w:rStyle w:val="Ссылка"/>
          <w:rtl w:val="0"/>
        </w:rPr>
        <w:t>Отчет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о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прибылях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и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убытках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ОАО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Сбер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Банк</w:t>
      </w:r>
      <w:r>
        <w:rPr>
          <w:rStyle w:val="Ссылка"/>
          <w:rtl w:val="0"/>
        </w:rPr>
        <w:t>_</w:t>
      </w:r>
      <w:r>
        <w:rPr>
          <w:rStyle w:val="Ссылка"/>
          <w:rtl w:val="0"/>
        </w:rPr>
        <w:t>за</w:t>
      </w:r>
      <w:r>
        <w:rPr>
          <w:rStyle w:val="Ссылка"/>
          <w:rtl w:val="0"/>
        </w:rPr>
        <w:t>_2024_</w:t>
      </w:r>
      <w:r>
        <w:rPr>
          <w:rStyle w:val="Ссылка"/>
          <w:rtl w:val="0"/>
        </w:rPr>
        <w:t>год</w:t>
      </w:r>
      <w:r>
        <w:rPr>
          <w:rStyle w:val="Ссылка"/>
          <w:rtl w:val="0"/>
        </w:rPr>
        <w:t>.pdf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30.01.2026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10. </w:t>
      </w:r>
      <w:r>
        <w:rPr>
          <w:rStyle w:val="Нет"/>
          <w:rtl w:val="0"/>
          <w:lang w:val="ru-RU"/>
        </w:rPr>
        <w:t xml:space="preserve">Результаты МСФО за </w:t>
      </w:r>
      <w:r>
        <w:rPr>
          <w:rStyle w:val="Нет"/>
          <w:rtl w:val="0"/>
          <w:lang w:val="ru-RU"/>
        </w:rPr>
        <w:t xml:space="preserve">9 </w:t>
      </w:r>
      <w:r>
        <w:rPr>
          <w:rStyle w:val="Нет"/>
          <w:rtl w:val="0"/>
          <w:lang w:val="ru-RU"/>
        </w:rPr>
        <w:t xml:space="preserve">месяцев </w:t>
      </w:r>
      <w:r>
        <w:rPr>
          <w:rStyle w:val="Нет"/>
          <w:rtl w:val="0"/>
          <w:lang w:val="ru-RU"/>
        </w:rPr>
        <w:t xml:space="preserve">2025 </w:t>
      </w:r>
      <w:r>
        <w:rPr>
          <w:rStyle w:val="Нет"/>
          <w:rtl w:val="0"/>
          <w:lang w:val="ru-RU"/>
        </w:rPr>
        <w:t xml:space="preserve">года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Hyperlink.0"/>
          <w:lang w:val="en-US"/>
        </w:rPr>
        <w:fldChar w:fldCharType="begin" w:fldLock="0"/>
      </w:r>
      <w:r>
        <w:rPr>
          <w:rStyle w:val="Hyperlink.0"/>
          <w:lang w:val="en-US"/>
        </w:rPr>
        <w:instrText xml:space="preserve"> HYPERLINK "https://www.sberbank.com/ru/investor-relations/groupresults/ifrs_results_for_the_3rd_quarter9oct"</w:instrText>
      </w:r>
      <w:r>
        <w:rPr>
          <w:rStyle w:val="Hyperlink.0"/>
          <w:lang w:val="en-US"/>
        </w:rPr>
        <w:fldChar w:fldCharType="separate" w:fldLock="0"/>
      </w:r>
      <w:r>
        <w:rPr>
          <w:rStyle w:val="Hyperlink.0"/>
          <w:rtl w:val="0"/>
          <w:lang w:val="en-US"/>
        </w:rPr>
        <w:t>https</w:t>
      </w:r>
      <w:r>
        <w:rPr>
          <w:rStyle w:val="Ссылка"/>
          <w:rtl w:val="0"/>
          <w:lang w:val="ru-RU"/>
        </w:rPr>
        <w:t>://</w:t>
      </w:r>
      <w:r>
        <w:rPr>
          <w:rStyle w:val="Hyperlink.0"/>
          <w:rtl w:val="0"/>
          <w:lang w:val="en-US"/>
        </w:rPr>
        <w:t>www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sberbank</w:t>
      </w:r>
      <w:r>
        <w:rPr>
          <w:rStyle w:val="Ссылка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com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ru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investor</w:t>
      </w:r>
      <w:r>
        <w:rPr>
          <w:rStyle w:val="Ссылка"/>
          <w:rtl w:val="0"/>
          <w:lang w:val="ru-RU"/>
        </w:rPr>
        <w:t>-</w:t>
      </w:r>
      <w:r>
        <w:rPr>
          <w:rStyle w:val="Hyperlink.0"/>
          <w:rtl w:val="0"/>
          <w:lang w:val="en-US"/>
        </w:rPr>
        <w:t>relations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groupresults</w:t>
      </w:r>
      <w:r>
        <w:rPr>
          <w:rStyle w:val="Ссылка"/>
          <w:rtl w:val="0"/>
          <w:lang w:val="ru-RU"/>
        </w:rPr>
        <w:t>/</w:t>
      </w:r>
      <w:r>
        <w:rPr>
          <w:rStyle w:val="Hyperlink.0"/>
          <w:rtl w:val="0"/>
          <w:lang w:val="en-US"/>
        </w:rPr>
        <w:t>ifrs</w:t>
      </w:r>
      <w:r>
        <w:rPr>
          <w:rStyle w:val="Ссылка"/>
          <w:rtl w:val="0"/>
          <w:lang w:val="ru-RU"/>
        </w:rPr>
        <w:t>_</w:t>
      </w:r>
      <w:r>
        <w:rPr>
          <w:rStyle w:val="Hyperlink.0"/>
          <w:rtl w:val="0"/>
          <w:lang w:val="en-US"/>
        </w:rPr>
        <w:t>results</w:t>
      </w:r>
      <w:r>
        <w:rPr>
          <w:rStyle w:val="Ссылка"/>
          <w:rtl w:val="0"/>
          <w:lang w:val="ru-RU"/>
        </w:rPr>
        <w:t>_</w:t>
      </w:r>
      <w:r>
        <w:rPr>
          <w:rStyle w:val="Hyperlink.0"/>
          <w:rtl w:val="0"/>
          <w:lang w:val="en-US"/>
        </w:rPr>
        <w:t>for</w:t>
      </w:r>
      <w:r>
        <w:rPr>
          <w:rStyle w:val="Ссылка"/>
          <w:rtl w:val="0"/>
          <w:lang w:val="ru-RU"/>
        </w:rPr>
        <w:t>_</w:t>
      </w:r>
      <w:r>
        <w:rPr>
          <w:rStyle w:val="Hyperlink.0"/>
          <w:rtl w:val="0"/>
          <w:lang w:val="en-US"/>
        </w:rPr>
        <w:t>the</w:t>
      </w:r>
      <w:r>
        <w:rPr>
          <w:rStyle w:val="Ссылка"/>
          <w:rtl w:val="0"/>
          <w:lang w:val="ru-RU"/>
        </w:rPr>
        <w:t>_3</w:t>
      </w:r>
      <w:r>
        <w:rPr>
          <w:rStyle w:val="Hyperlink.0"/>
          <w:rtl w:val="0"/>
          <w:lang w:val="en-US"/>
        </w:rPr>
        <w:t>rd</w:t>
      </w:r>
      <w:r>
        <w:rPr>
          <w:rStyle w:val="Ссылка"/>
          <w:rtl w:val="0"/>
          <w:lang w:val="ru-RU"/>
        </w:rPr>
        <w:t>_</w:t>
      </w:r>
      <w:r>
        <w:rPr>
          <w:rStyle w:val="Hyperlink.0"/>
          <w:rtl w:val="0"/>
          <w:lang w:val="en-US"/>
        </w:rPr>
        <w:t>quarter</w:t>
      </w:r>
      <w:r>
        <w:rPr>
          <w:rStyle w:val="Ссылка"/>
          <w:rtl w:val="0"/>
          <w:lang w:val="ru-RU"/>
        </w:rPr>
        <w:t>9</w:t>
      </w:r>
      <w:r>
        <w:rPr>
          <w:rStyle w:val="Hyperlink.0"/>
          <w:rtl w:val="0"/>
          <w:lang w:val="en-US"/>
        </w:rPr>
        <w:t>oct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- </w:t>
      </w:r>
      <w:r>
        <w:rPr>
          <w:rStyle w:val="Нет"/>
          <w:rtl w:val="0"/>
          <w:lang w:val="ru-RU"/>
        </w:rPr>
        <w:t>Дата доступа</w:t>
      </w:r>
      <w:r>
        <w:rPr>
          <w:rStyle w:val="Нет"/>
          <w:rtl w:val="0"/>
          <w:lang w:val="ru-RU"/>
        </w:rPr>
        <w:t>: 02.02.2026</w:t>
      </w:r>
    </w:p>
    <w:p>
      <w:pPr>
        <w:pStyle w:val="Normal.0"/>
        <w:rPr>
          <w:rStyle w:val="Нет"/>
          <w:lang w:val="en-US"/>
        </w:rPr>
      </w:pPr>
      <w:r>
        <w:rPr>
          <w:rStyle w:val="Нет"/>
          <w:rtl w:val="0"/>
          <w:lang w:val="en-US"/>
        </w:rPr>
        <w:t xml:space="preserve">11. ISACA. COBIT 2019 Framework: Governance and Management Objectives. </w:t>
      </w:r>
      <w:r>
        <w:rPr>
          <w:rStyle w:val="Нет"/>
          <w:rtl w:val="0"/>
          <w:lang w:val="en-US"/>
        </w:rPr>
        <w:t xml:space="preserve">— </w:t>
      </w:r>
      <w:r>
        <w:rPr>
          <w:rStyle w:val="Нет"/>
          <w:rtl w:val="0"/>
          <w:lang w:val="en-US"/>
        </w:rPr>
        <w:t xml:space="preserve">Rolling Meadows, IL: ISACA, 2019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en-US"/>
        </w:rPr>
        <w:t>302 c.</w:t>
      </w:r>
    </w:p>
    <w:p>
      <w:pPr>
        <w:pStyle w:val="Normal.0"/>
        <w:rPr>
          <w:rStyle w:val="Нет"/>
          <w:lang w:val="en-US"/>
        </w:rPr>
      </w:pPr>
      <w:r>
        <w:rPr>
          <w:rStyle w:val="Нет"/>
          <w:rtl w:val="0"/>
          <w:lang w:val="en-US"/>
        </w:rPr>
        <w:t xml:space="preserve">12. ISACA. COBIT 2019 Framework: introduction and methodology </w:t>
      </w:r>
      <w:r>
        <w:rPr>
          <w:rStyle w:val="Нет"/>
          <w:rtl w:val="0"/>
          <w:lang w:val="en-US"/>
        </w:rPr>
        <w:t xml:space="preserve">— </w:t>
      </w:r>
      <w:r>
        <w:rPr>
          <w:rStyle w:val="Нет"/>
          <w:rtl w:val="0"/>
          <w:lang w:val="en-US"/>
        </w:rPr>
        <w:t xml:space="preserve">Rolling Meadows, IL: ISACA, 2019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en-US"/>
        </w:rPr>
        <w:t>64 c.</w:t>
      </w:r>
    </w:p>
    <w:p>
      <w:pPr>
        <w:pStyle w:val="Normal.0"/>
        <w:rPr>
          <w:rStyle w:val="Нет"/>
        </w:rPr>
      </w:pPr>
      <w:r>
        <w:rPr>
          <w:rStyle w:val="Нет"/>
          <w:rtl w:val="0"/>
          <w:lang w:val="en-US"/>
        </w:rPr>
        <w:t xml:space="preserve">13. AXELOS. ITIL Foundation ITIL 4 Edition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en-US"/>
        </w:rPr>
        <w:t xml:space="preserve">London: TSO, 2019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en-US"/>
        </w:rPr>
        <w:t xml:space="preserve">260 </w:t>
      </w:r>
      <w:r>
        <w:rPr>
          <w:rStyle w:val="Нет"/>
          <w:rtl w:val="0"/>
          <w:lang w:val="ru-RU"/>
        </w:rPr>
        <w:t>с</w:t>
      </w:r>
      <w:r>
        <w:rPr>
          <w:rStyle w:val="Нет"/>
          <w:rtl w:val="0"/>
          <w:lang w:val="en-US"/>
        </w:rPr>
        <w:t>.</w:t>
      </w:r>
    </w:p>
    <w:p>
      <w:pPr>
        <w:pStyle w:val="Normal.0"/>
        <w:rPr>
          <w:rStyle w:val="Нет"/>
        </w:rPr>
      </w:pPr>
      <w:r>
        <w:rPr>
          <w:rStyle w:val="Нет"/>
          <w:rtl w:val="0"/>
          <w:lang w:val="en-US"/>
        </w:rPr>
        <w:t xml:space="preserve">14. ISO 20022 WILEY, </w:t>
      </w:r>
      <w:r>
        <w:rPr>
          <w:rStyle w:val="Нет"/>
          <w:rtl w:val="0"/>
          <w:lang w:val="ru-RU"/>
        </w:rPr>
        <w:t>публикация</w:t>
      </w:r>
      <w:r>
        <w:rPr>
          <w:rStyle w:val="Нет"/>
          <w:rtl w:val="0"/>
          <w:lang w:val="en-US"/>
        </w:rPr>
        <w:t xml:space="preserve"> A John Wiley and Sons, Ltd </w:t>
      </w:r>
      <w:r>
        <w:rPr>
          <w:rStyle w:val="Нет"/>
          <w:rtl w:val="0"/>
          <w:lang w:val="en-US"/>
        </w:rPr>
        <w:t xml:space="preserve">– </w:t>
      </w:r>
      <w:r>
        <w:rPr>
          <w:rStyle w:val="Нет"/>
          <w:rtl w:val="0"/>
          <w:lang w:val="en-US"/>
        </w:rPr>
        <w:t>52 c.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15. </w:t>
      </w:r>
      <w:r>
        <w:rPr>
          <w:rStyle w:val="Нет"/>
          <w:rtl w:val="0"/>
          <w:lang w:val="ru-RU"/>
        </w:rPr>
        <w:t xml:space="preserve">Официальный сайт ОАО «Сбер Банк»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– Дата доступа</w:t>
      </w:r>
      <w:r>
        <w:rPr>
          <w:rStyle w:val="Нет"/>
          <w:rtl w:val="0"/>
          <w:lang w:val="ru-RU"/>
        </w:rPr>
        <w:t>: 11.02.2026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16. </w:t>
      </w:r>
      <w:r>
        <w:rPr>
          <w:rStyle w:val="Нет"/>
          <w:rtl w:val="0"/>
          <w:lang w:val="ru-RU"/>
        </w:rPr>
        <w:t>Система управления рисками и информация о должностном лице</w:t>
      </w:r>
      <w:r>
        <w:rPr>
          <w:rStyle w:val="Нет"/>
          <w:rtl w:val="0"/>
          <w:lang w:val="ru-RU"/>
        </w:rPr>
        <w:t xml:space="preserve">, </w:t>
      </w:r>
      <w:r>
        <w:rPr>
          <w:rStyle w:val="Нет"/>
          <w:rtl w:val="0"/>
          <w:lang w:val="ru-RU"/>
        </w:rPr>
        <w:t xml:space="preserve">ответственном за управление рисками в Банке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"https://www.sber-bank.by/files/up/25280/%25D0%25A0%25D0%25B8%25D1%2581%25D0%25BA%25D0%25B8.docx"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https://www.sber-bank.by/files/up/25280/%D0%A0%D0%B8%D1%81%D0%BA%D0%B8.docx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– Дата доступа</w:t>
      </w:r>
      <w:r>
        <w:rPr>
          <w:rStyle w:val="Нет"/>
          <w:rtl w:val="0"/>
          <w:lang w:val="ru-RU"/>
        </w:rPr>
        <w:t xml:space="preserve">: 14.02.2026 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17. </w:t>
      </w:r>
      <w:r>
        <w:rPr>
          <w:rStyle w:val="Нет"/>
          <w:rtl w:val="0"/>
          <w:lang w:val="ru-RU"/>
        </w:rPr>
        <w:t xml:space="preserve">Навигатор </w:t>
      </w:r>
      <w:r>
        <w:rPr>
          <w:rStyle w:val="Нет"/>
          <w:rtl w:val="0"/>
          <w:lang w:val="en-US"/>
        </w:rPr>
        <w:t>BI</w:t>
      </w:r>
      <w:r>
        <w:rPr>
          <w:rStyle w:val="Нет"/>
          <w:rtl w:val="0"/>
          <w:lang w:val="ru-RU"/>
        </w:rPr>
        <w:t xml:space="preserve"> 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Hyperlink.1"/>
          <w:lang w:val="ru-RU"/>
        </w:rPr>
        <w:fldChar w:fldCharType="begin" w:fldLock="0"/>
      </w:r>
      <w:r>
        <w:rPr>
          <w:rStyle w:val="Hyperlink.1"/>
          <w:lang w:val="ru-RU"/>
        </w:rPr>
        <w:instrText xml:space="preserve"> HYPERLINK "https://navigator.sberanalytics.ru/"</w:instrText>
      </w:r>
      <w:r>
        <w:rPr>
          <w:rStyle w:val="Hyperlink.1"/>
          <w:lang w:val="ru-RU"/>
        </w:rPr>
        <w:fldChar w:fldCharType="separate" w:fldLock="0"/>
      </w:r>
      <w:r>
        <w:rPr>
          <w:rStyle w:val="Hyperlink.1"/>
          <w:rtl w:val="0"/>
          <w:lang w:val="ru-RU"/>
        </w:rPr>
        <w:t>https://navigator.sberanalytics.ru/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– Дата доступа</w:t>
      </w:r>
      <w:r>
        <w:rPr>
          <w:rStyle w:val="Нет"/>
          <w:rtl w:val="0"/>
          <w:lang w:val="ru-RU"/>
        </w:rPr>
        <w:t>: 14.02.2026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18. </w:t>
      </w:r>
      <w:r>
        <w:rPr>
          <w:rStyle w:val="Нет"/>
          <w:rtl w:val="0"/>
          <w:lang w:val="ru-RU"/>
        </w:rPr>
        <w:t xml:space="preserve">Электронный документооборот в Сбер Банке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Ссылка"/>
        </w:rPr>
        <w:fldChar w:fldCharType="begin" w:fldLock="0"/>
      </w:r>
      <w:r>
        <w:rPr>
          <w:rStyle w:val="Ссылка"/>
        </w:rPr>
        <w:instrText xml:space="preserve"> HYPERLINK "https://www.sberbank.ru/ru/s_m_business/nbs/e-invoicing"</w:instrText>
      </w:r>
      <w:r>
        <w:rPr>
          <w:rStyle w:val="Ссылка"/>
        </w:rPr>
        <w:fldChar w:fldCharType="separate" w:fldLock="0"/>
      </w:r>
      <w:r>
        <w:rPr>
          <w:rStyle w:val="Ссылка"/>
          <w:rtl w:val="0"/>
        </w:rPr>
        <w:t>https://www.sberbank.ru/ru/s_m_business/nbs/e-invoicing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 – Дата доступа</w:t>
      </w:r>
      <w:r>
        <w:rPr>
          <w:rStyle w:val="Нет"/>
          <w:rtl w:val="0"/>
          <w:lang w:val="ru-RU"/>
        </w:rPr>
        <w:t>: 14.02.2026</w:t>
      </w:r>
    </w:p>
    <w:p>
      <w:pPr>
        <w:pStyle w:val="Normal.0"/>
      </w:pPr>
      <w:r>
        <w:rPr>
          <w:rStyle w:val="Нет"/>
          <w:rtl w:val="0"/>
          <w:lang w:val="ru-RU"/>
        </w:rPr>
        <w:t xml:space="preserve">19. </w:t>
      </w:r>
      <w:r>
        <w:rPr>
          <w:rStyle w:val="Нет"/>
          <w:rtl w:val="0"/>
          <w:lang w:val="ru-RU"/>
        </w:rPr>
        <w:t xml:space="preserve">Система электронного документооборота Канцлер </w:t>
      </w:r>
      <w:r>
        <w:rPr>
          <w:rStyle w:val="Нет"/>
          <w:rtl w:val="0"/>
          <w:lang w:val="ru-RU"/>
        </w:rPr>
        <w:t>[</w:t>
      </w:r>
      <w:r>
        <w:rPr>
          <w:rStyle w:val="Нет"/>
          <w:rtl w:val="0"/>
          <w:lang w:val="ru-RU"/>
        </w:rPr>
        <w:t>Электронный ресурс</w:t>
      </w:r>
      <w:r>
        <w:rPr>
          <w:rStyle w:val="Нет"/>
          <w:rtl w:val="0"/>
          <w:lang w:val="ru-RU"/>
        </w:rPr>
        <w:t xml:space="preserve">] </w:t>
      </w:r>
      <w:r>
        <w:rPr>
          <w:rStyle w:val="Нет"/>
          <w:rtl w:val="0"/>
          <w:lang w:val="ru-RU"/>
        </w:rPr>
        <w:t>Режим доступа</w:t>
      </w:r>
      <w:r>
        <w:rPr>
          <w:rStyle w:val="Нет"/>
          <w:rtl w:val="0"/>
          <w:lang w:val="ru-RU"/>
        </w:rPr>
        <w:t xml:space="preserve">: </w:t>
      </w:r>
      <w:r>
        <w:rPr>
          <w:rStyle w:val="Hyperlink.0"/>
          <w:lang w:val="en-US"/>
        </w:rPr>
        <w:fldChar w:fldCharType="begin" w:fldLock="0"/>
      </w:r>
      <w:r>
        <w:rPr>
          <w:rStyle w:val="Hyperlink.0"/>
          <w:lang w:val="en-US"/>
        </w:rPr>
        <w:instrText xml:space="preserve"> HYPERLINK "https://kancler.by/"</w:instrText>
      </w:r>
      <w:r>
        <w:rPr>
          <w:rStyle w:val="Hyperlink.0"/>
          <w:lang w:val="en-US"/>
        </w:rPr>
        <w:fldChar w:fldCharType="separate" w:fldLock="0"/>
      </w:r>
      <w:r>
        <w:rPr>
          <w:rStyle w:val="Hyperlink.0"/>
          <w:rtl w:val="0"/>
          <w:lang w:val="en-US"/>
        </w:rPr>
        <w:t>https</w:t>
      </w:r>
      <w:r>
        <w:rPr>
          <w:rStyle w:val="Hyperlink.1"/>
          <w:rtl w:val="0"/>
          <w:lang w:val="ru-RU"/>
        </w:rPr>
        <w:t>://</w:t>
      </w:r>
      <w:r>
        <w:rPr>
          <w:rStyle w:val="Hyperlink.0"/>
          <w:rtl w:val="0"/>
          <w:lang w:val="en-US"/>
        </w:rPr>
        <w:t>kancler</w:t>
      </w:r>
      <w:r>
        <w:rPr>
          <w:rStyle w:val="Hyperlink.1"/>
          <w:rtl w:val="0"/>
          <w:lang w:val="ru-RU"/>
        </w:rPr>
        <w:t>.</w:t>
      </w:r>
      <w:r>
        <w:rPr>
          <w:rStyle w:val="Hyperlink.0"/>
          <w:rtl w:val="0"/>
          <w:lang w:val="en-US"/>
        </w:rPr>
        <w:t>by</w:t>
      </w:r>
      <w:r>
        <w:rPr>
          <w:rStyle w:val="Hyperlink.1"/>
          <w:rtl w:val="0"/>
          <w:lang w:val="ru-RU"/>
        </w:rPr>
        <w:t>/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– Дата доступа</w:t>
      </w:r>
      <w:r>
        <w:rPr>
          <w:rStyle w:val="Нет"/>
          <w:rtl w:val="0"/>
          <w:lang w:val="ru-RU"/>
        </w:rPr>
        <w:t>: 14.02.2026</w:t>
      </w:r>
    </w:p>
    <w:p>
      <w:pPr>
        <w:pStyle w:val="Normal.0"/>
      </w:pPr>
      <w:r>
        <w:rPr>
          <w:rStyle w:val="Нет"/>
          <w:rtl w:val="0"/>
          <w:lang w:val="ru-RU"/>
        </w:rPr>
        <w:t>20.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0" w:h="16840" w:orient="portrait"/>
      <w:pgMar w:top="1134" w:right="567" w:bottom="1134" w:left="1701" w:header="709" w:footer="709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NewRomanPSM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ind w:firstLine="0"/>
      <w:jc w:val="center"/>
    </w:pPr>
    <w:r>
      <w:rPr>
        <w:rStyle w:val="Нет"/>
        <w:rtl w:val="0"/>
      </w:rPr>
      <w:fldChar w:fldCharType="begin" w:fldLock="0"/>
    </w:r>
    <w:r>
      <w:rPr>
        <w:rStyle w:val="Нет"/>
        <w:rtl w:val="0"/>
      </w:rPr>
      <w:instrText xml:space="preserve"> PAGE </w:instrText>
    </w:r>
    <w:r>
      <w:rPr>
        <w:rStyle w:val="Нет"/>
        <w:rtl w:val="0"/>
      </w:rPr>
      <w:fldChar w:fldCharType="separate" w:fldLock="0"/>
    </w:r>
    <w:r>
      <w:rPr>
        <w:rStyle w:val="Нет"/>
        <w:rtl w:val="0"/>
      </w:rPr>
    </w:r>
    <w:r>
      <w:rPr>
        <w:rStyle w:val="Нет"/>
        <w:rtl w:val="0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720" w:hanging="500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8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0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3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53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75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9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1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4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С числами"/>
  </w:abstractNum>
  <w:abstractNum w:abstractNumId="3">
    <w:multiLevelType w:val="hybridMultilevel"/>
    <w:styleLink w:val="С числами"/>
    <w:lvl w:ilvl="0">
      <w:start w:val="1"/>
      <w:numFmt w:val="decimal"/>
      <w:suff w:val="tab"/>
      <w:lvlText w:val="%1.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720" w:hanging="500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8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0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3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53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75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9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1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4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Пункт"/>
  </w:abstractNum>
  <w:abstractNum w:abstractNumId="5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720" w:hanging="500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8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0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3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53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75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97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19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418" w:hanging="438"/>
      </w:pPr>
      <w:rPr>
        <w:rFonts w:ascii="TimesNewRomanPSMT" w:cs="TimesNewRomanPSMT" w:hAnsi="TimesNewRomanPSMT" w:eastAsia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113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709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character" w:styleId="Нет">
    <w:name w:val="Нет"/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709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12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240" w:line="240" w:lineRule="auto"/>
      <w:ind w:left="0" w:right="0" w:firstLine="0"/>
      <w:jc w:val="center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12" w:leader="dot"/>
      </w:tabs>
      <w:suppressAutoHyphens w:val="0"/>
      <w:bidi w:val="0"/>
      <w:spacing w:before="0" w:after="100" w:line="240" w:lineRule="auto"/>
      <w:ind w:left="0" w:right="0" w:firstLine="113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Подглавы">
    <w:name w:val="Подглавы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120" w:line="240" w:lineRule="auto"/>
      <w:ind w:left="0" w:right="0" w:firstLine="709"/>
      <w:jc w:val="both"/>
      <w:outlineLvl w:val="1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709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numbering" w:styleId="С числами">
    <w:name w:val="С числами"/>
    <w:pPr>
      <w:numPr>
        <w:numId w:val="3"/>
      </w:numPr>
    </w:pPr>
  </w:style>
  <w:style w:type="numbering" w:styleId="Пункт">
    <w:name w:val="Пункт"/>
    <w:pPr>
      <w:numPr>
        <w:numId w:val="5"/>
      </w:numPr>
    </w:pPr>
  </w:style>
  <w:style w:type="character" w:styleId="Ссылка">
    <w:name w:val="Ссылка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Ссылка"/>
    <w:next w:val="Hyperlink.0"/>
    <w:rPr>
      <w:lang w:val="en-US"/>
    </w:rPr>
  </w:style>
  <w:style w:type="character" w:styleId="Hyperlink.1">
    <w:name w:val="Hyperlink.1"/>
    <w:basedOn w:val="Ссылка"/>
    <w:next w:val="Hyperlink.1"/>
    <w:rPr>
      <w:lang w:val="ru-RU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