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Times New Roman" w:hAnsi="Times New Roman" w:cs="Arial"/>
          <w:b w:val="0"/>
          <w:color w:val="auto"/>
          <w:sz w:val="28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Times New Roman" w:hAnsi="Times New Roman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Times New Roman" w:hAnsi="Times New Roman" w:cs="Arial"/>
          <w:sz w:val="28"/>
          <w:szCs w:val="28"/>
          <w:lang w:val="en-US"/>
        </w:rPr>
        <w:t>CDK</w:t>
      </w:r>
      <w:r w:rsidRPr="00D11F94">
        <w:rPr>
          <w:rFonts w:ascii="Times New Roman" w:hAnsi="Times New Roman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40-70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2005-2013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Times New Roman" w:hAnsi="Times New Roman" w:cs="Arial"/>
                <w:sz w:val="28"/>
                <w:szCs w:val="24"/>
              </w:rPr>
              <w:t>пром</w:t>
            </w:r>
            <w:proofErr w:type="spellEnd"/>
            <w:r w:rsidRPr="00D11F94">
              <w:rPr>
                <w:rFonts w:ascii="Times New Roman" w:hAnsi="Times New Roman" w:cs="Arial"/>
                <w:sz w:val="28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Times New Roman" w:hAnsi="Times New Roman" w:cs="Arial"/>
                <w:sz w:val="28"/>
                <w:szCs w:val="24"/>
              </w:rPr>
              <w:t>пром</w:t>
            </w:r>
            <w:proofErr w:type="spellEnd"/>
            <w:r w:rsidRPr="00D11F94">
              <w:rPr>
                <w:rFonts w:ascii="Times New Roman" w:hAnsi="Times New Roman" w:cs="Arial"/>
                <w:sz w:val="28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t>от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t>1-ый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t>2-ый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t>4-ый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t>5-ый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t>6-ый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Times New Roman" w:hAnsi="Times New Roman" w:cs="Arial"/>
                <w:sz w:val="28"/>
                <w:szCs w:val="24"/>
              </w:rPr>
              <w:t>млн.</w:t>
            </w:r>
            <w:proofErr w:type="gramEnd"/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Times New Roman" w:hAnsi="Times New Roman" w:cs="Arial"/>
                <w:sz w:val="28"/>
                <w:szCs w:val="24"/>
              </w:rPr>
              <w:t>куз</w:t>
            </w:r>
            <w:proofErr w:type="spellEnd"/>
            <w:r w:rsidRPr="00D11F94">
              <w:rPr>
                <w:rFonts w:ascii="Times New Roman" w:hAnsi="Times New Roman" w:cs="Arial"/>
                <w:sz w:val="28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Times New Roman" w:hAnsi="Times New Roman" w:cs="Arial"/>
                <w:sz w:val="28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spacing w:line="360" w:lineRule="auto"/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