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                   (подпись)      </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 </w:t>
      </w:r>
    </w:p>
    <w:p>
      <w:pPr>
        <w:jc w:val="center"/>
      </w:pPr>
    </w:p>
    <w:p>
      <w:pPr>
        <w:ind w:firstLine="567"/>
        <w:jc w:val="center"/>
        <w:rPr>
          <w:b/>
          <w:bCs/>
          <w:color w:val="000000"/>
        </w:rPr>
      </w:pPr>
      <w:r>
        <w:rPr>
          <w:b/>
          <w:bCs/>
          <w:color w:val="000000"/>
        </w:rPr>
        <w:t>(38014)Нечёткая логика и нечёткое управление</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 </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 </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 </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 </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 </w:t>
      </w:r>
      <w:r>
        <w:rPr>
          <w:b/>
          <w:bCs/>
          <w:color w:val="000000"/>
        </w:rPr>
        <w:t>Вычислительная техника и инженерная кибернетика (ВТИК);</w:t>
      </w:r>
    </w:p>
    <w:p>
      <w:pPr>
        <w:rPr>
          <w:highlight w:val="yellow"/>
        </w:rPr>
      </w:pPr>
    </w:p>
    <w:p>
      <w:pPr>
        <w:rPr>
          <w:b/>
        </w:rPr>
      </w:pPr>
      <w:r>
        <w:t>Трудоемкость дисциплины: </w:t>
      </w:r>
      <w:r>
        <w:rPr>
          <w:b/>
          <w:bCs/>
          <w:color w:val="000000"/>
        </w:rPr>
        <w:t>4 з.е.  (144час)</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 </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 .. </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 .. </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 </w:t>
      </w:r>
      <w:r>
        <w:rPr>
          <w:bCs/>
          <w:sz w:val="24"/>
          <w:szCs w:val="24"/>
        </w:rPr>
        <w:t>08.06.2022 </w:t>
      </w:r>
      <w:r>
        <w:rPr>
          <w:sz w:val="24"/>
          <w:szCs w:val="24"/>
        </w:rPr>
        <w:t>№ </w:t>
      </w:r>
      <w:r>
        <w:rPr>
          <w:bCs/>
          <w:sz w:val="24"/>
          <w:szCs w:val="24"/>
          <w:u w:val="single"/>
        </w:rPr>
        <w:t>6</w:t>
      </w:r>
      <w:r>
        <w:rPr>
          <w:sz w:val="24"/>
          <w:szCs w:val="24"/>
        </w:rPr>
        <w:t>  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 </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 </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 </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 </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 </w:t>
            </w:r>
          </w:p>
          <w:p>
            <w:pPr>
              <w:jc w:val="center"/>
            </w:pPr>
            <w:r>
              <w:t>в котором </w:t>
            </w:r>
          </w:p>
          <w:p>
            <w:pPr>
              <w:jc w:val="center"/>
            </w:pPr>
            <w:r>
              <w:t>преподается </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 </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Зачетные единицы</w:t>
            </w:r>
          </w:p>
        </w:tc>
        <w:tc>
          <w:tcPr>
            <w:tcW w:w="0" w:type="auto"/>
            <w:gridSpan w:val="3"/>
            <w:vAlign w:val="center"/>
          </w:tcPr>
          <w:p>
            <w:pPr>
              <w:autoSpaceDE w:val="0"/>
              <w:autoSpaceDN w:val="0"/>
              <w:adjustRightInd w:val="0"/>
              <w:jc w:val="center"/>
              <w:rPr>
                <w:bCs/>
              </w:rPr>
            </w:pPr>
            <w:r>
              <w:t>Часы </w:t>
            </w:r>
          </w:p>
        </w:tc>
        <w:tc>
          <w:tcPr>
            <w:tcW w:w="0" w:type="auto"/>
            <w:vMerge/>
            <w:vAlign w:val="center"/>
          </w:tcPr>
          <w:p>
            <w:pPr>
              <w:autoSpaceDE w:val="0"/>
              <w:autoSpaceDN w:val="0"/>
              <w:adjustRightInd w:val="0"/>
              <w:jc w:val="center"/>
              <w:rPr>
                <w:bCs/>
                <w:i/>
              </w:rPr>
            </w:pPr>
          </w:p>
        </w:tc>
      </w:tr>
      <w:tr>
        <w:trPr>
          <w:trHeight w:val="330"/>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restart"/>
            <w:vAlign w:val="center"/>
          </w:tcPr>
          <w:p>
            <w:pPr>
              <w:autoSpaceDE w:val="0"/>
              <w:autoSpaceDN w:val="0"/>
              <w:adjustRightInd w:val="0"/>
              <w:ind w:left="12" w:hanging="12"/>
              <w:jc w:val="center"/>
            </w:pPr>
            <w:r>
              <w:t>Общая</w:t>
            </w:r>
          </w:p>
        </w:tc>
        <w:tc>
          <w:tcPr>
            <w:tcW w:w="0" w:type="auto"/>
            <w:gridSpan w:val="2"/>
            <w:vAlign w:val="center"/>
          </w:tcPr>
          <w:p>
            <w:pPr>
              <w:autoSpaceDE w:val="0"/>
              <w:autoSpaceDN w:val="0"/>
              <w:adjustRightInd w:val="0"/>
              <w:ind w:left="12" w:hanging="12"/>
              <w:jc w:val="center"/>
            </w:pPr>
            <w:r>
              <w:t>В том числе </w:t>
            </w:r>
          </w:p>
        </w:tc>
        <w:tc>
          <w:tcPr>
            <w:tcW w:w="0" w:type="auto"/>
            <w:vMerge/>
            <w:vAlign w:val="center"/>
          </w:tcPr>
          <w:p>
            <w:pPr>
              <w:autoSpaceDE w:val="0"/>
              <w:autoSpaceDN w:val="0"/>
              <w:adjustRightInd w:val="0"/>
              <w:jc w:val="center"/>
              <w:rPr>
                <w:bCs/>
                <w:i/>
              </w:rPr>
            </w:pPr>
          </w:p>
        </w:tc>
      </w:tr>
      <w:tr>
        <w:trPr>
          <w:trHeight w:val="615"/>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ign w:val="center"/>
          </w:tcPr>
          <w:p>
            <w:pPr>
              <w:autoSpaceDE w:val="0"/>
              <w:autoSpaceDN w:val="0"/>
              <w:adjustRightInd w:val="0"/>
              <w:ind w:left="12" w:hanging="12"/>
              <w:jc w:val="center"/>
            </w:pPr>
          </w:p>
        </w:tc>
        <w:tc>
          <w:tcPr>
            <w:tcW w:w="0" w:type="auto"/>
            <w:vAlign w:val="center"/>
          </w:tcPr>
          <w:p>
            <w:pPr>
              <w:autoSpaceDE w:val="0"/>
              <w:autoSpaceDN w:val="0"/>
              <w:adjustRightInd w:val="0"/>
              <w:ind w:left="12" w:hanging="12"/>
              <w:jc w:val="center"/>
            </w:pPr>
            <w:r>
              <w:t>контактная</w:t>
            </w:r>
          </w:p>
        </w:tc>
        <w:tc>
          <w:tcPr>
            <w:tcW w:w="0" w:type="auto"/>
            <w:vAlign w:val="center"/>
          </w:tcPr>
          <w:p>
            <w:pPr>
              <w:autoSpaceDE w:val="0"/>
              <w:autoSpaceDN w:val="0"/>
              <w:adjustRightInd w:val="0"/>
              <w:ind w:left="12" w:hanging="12"/>
              <w:jc w:val="center"/>
            </w:pPr>
            <w:r>
              <w:t>СРО</w:t>
            </w:r>
          </w:p>
        </w:tc>
        <w:tc>
          <w:tcPr>
            <w:tcW w:w="0" w:type="auto"/>
            <w:vMerge/>
            <w:vAlign w:val="center"/>
          </w:tcPr>
          <w:p>
            <w:pPr>
              <w:autoSpaceDE w:val="0"/>
              <w:autoSpaceDN w:val="0"/>
              <w:adjustRightInd w:val="0"/>
              <w:jc w:val="center"/>
              <w:rPr>
                <w:bCs/>
                <w:i/>
              </w:rPr>
            </w:pPr>
          </w:p>
        </w:tc>
      </w:tr>
      <w:tr>
        <w:trPr>
          <w:jc w:val="center"/>
        </w:trPr>
        <w:tc>
          <w:tcPr>
            <w:tcW w:w="0" w:type="auto"/>
            <w:vAlign w:val="center"/>
          </w:tcPr>
          <w:p>
            <w:pPr>
              <w:jc w:val="center"/>
              <w:rPr>
                <w:bCs/>
                <w:highlight w:val="yellow"/>
              </w:rPr>
            </w:pPr>
            <w:r>
              <w:rPr>
                <w:bCs/>
              </w:rPr>
              <w:t>7</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диф.зачет;</w:t>
            </w:r>
          </w:p>
        </w:tc>
      </w:tr>
      <w:tr>
        <w:trPr>
          <w:jc w:val="center"/>
        </w:trPr>
        <w:tc>
          <w:tcPr>
            <w:tcW w:w="0" w:type="auto"/>
            <w:vAlign w:val="center"/>
          </w:tcPr>
          <w:p>
            <w:pPr>
              <w:jc w:val="center"/>
              <w:rPr>
                <w:bCs/>
                <w:highlight w:val="yellow"/>
              </w:rPr>
            </w:pPr>
            <w:r>
              <w:rPr>
                <w:bCs/>
              </w:rPr>
              <w:t>ИТОГО:</w:t>
            </w:r>
          </w:p>
        </w:tc>
        <w:tc>
          <w:tcPr>
            <w:tcW w:w="0" w:type="auto"/>
            <w:vAlign w:val="center"/>
          </w:tcPr>
          <w:p>
            <w:pPr>
              <w:autoSpaceDE w:val="0"/>
              <w:autoSpaceDN w:val="0"/>
              <w:adjustRightInd w:val="0"/>
              <w:jc w:val="center"/>
              <w:rPr>
                <w:bCs/>
                <w:highlight w:val="yellow"/>
              </w:rPr>
            </w:pPr>
            <w:r>
              <w:rPr>
                <w:bCs/>
              </w:rPr>
              <w:t>5</w:t>
            </w:r>
          </w:p>
        </w:tc>
        <w:tc>
          <w:tcPr>
            <w:tcW w:w="0" w:type="auto"/>
            <w:vAlign w:val="center"/>
          </w:tcPr>
          <w:p>
            <w:pPr>
              <w:autoSpaceDE w:val="0"/>
              <w:autoSpaceDN w:val="0"/>
              <w:adjustRightInd w:val="0"/>
              <w:jc w:val="center"/>
              <w:rPr>
                <w:bCs/>
                <w:highlight w:val="yellow"/>
              </w:rPr>
            </w:pPr>
            <w:r>
              <w:rPr>
                <w:bCs/>
              </w:rPr>
              <w:t>180</w:t>
            </w:r>
          </w:p>
        </w:tc>
        <w:tc>
          <w:tcPr>
            <w:tcW w:w="0" w:type="auto"/>
            <w:vAlign w:val="center"/>
          </w:tcPr>
          <w:p>
            <w:pPr>
              <w:autoSpaceDE w:val="0"/>
              <w:autoSpaceDN w:val="0"/>
              <w:adjustRightInd w:val="0"/>
              <w:ind w:left="12" w:hanging="12"/>
              <w:jc w:val="center"/>
              <w:rPr>
                <w:bCs/>
                <w:highlight w:val="yellow"/>
              </w:rPr>
            </w:pPr>
            <w:r>
              <w:rPr>
                <w:bCs/>
              </w:rPr>
              <w:t>82</w:t>
            </w:r>
          </w:p>
        </w:tc>
        <w:tc>
          <w:tcPr>
            <w:tcW w:w="0" w:type="auto"/>
            <w:vAlign w:val="center"/>
          </w:tcPr>
          <w:p>
            <w:pPr>
              <w:autoSpaceDE w:val="0"/>
              <w:autoSpaceDN w:val="0"/>
              <w:adjustRightInd w:val="0"/>
              <w:ind w:left="12" w:hanging="12"/>
              <w:jc w:val="center"/>
              <w:rPr>
                <w:bCs/>
                <w:highlight w:val="yellow"/>
              </w:rPr>
            </w:pPr>
            <w:r>
              <w:rPr>
                <w:bCs/>
              </w:rPr>
              <w:t>98</w:t>
            </w:r>
          </w:p>
        </w:tc>
        <w:tc>
          <w:tcPr>
            <w:tcW w:w="0" w:type="auto"/>
            <w:vAlign w:val="center"/>
          </w:tcPr>
          <w:p>
            <w:pPr>
              <w:autoSpaceDE w:val="0"/>
              <w:autoSpaceDN w:val="0"/>
              <w:adjustRightInd w:val="0"/>
              <w:jc w:val="center"/>
              <w:rPr>
                <w:bCs/>
                <w:highlight w:val="yellow"/>
              </w:rPr>
            </w:pPr>
            <w:r>
              <w:rPr>
                <w:bCs/>
              </w:rPr>
              <w:t/>
            </w: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 </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применять аппарат нечётких множеств для описания неточных понятий и знаний</w:t>
            </w:r>
          </w:p>
        </w:tc>
        <w:tc>
          <w:tcPr>
            <w:tcW w:w="0" w:type="auto"/>
            <w:vAlign w:val="center"/>
          </w:tcPr>
          <w:p>
            <w:pPr>
              <w:tabs>
                <w:tab w:val="left" w:pos="993"/>
                <w:tab w:val="right" w:pos="9498"/>
              </w:tabs>
              <w:jc w:val="center"/>
              <w:rPr>
                <w:i/>
                <w:highlight w:val="yellow"/>
              </w:rPr>
            </w:pPr>
            <w:r>
              <w:rPr>
                <w:bCs/>
              </w:rPr>
              <w:t>УК-1</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проектировать нечёткие системы вывода для управления и принятия решений</w:t>
            </w:r>
          </w:p>
        </w:tc>
        <w:tc>
          <w:tcPr>
            <w:tcW w:w="0" w:type="auto"/>
            <w:vAlign w:val="center"/>
          </w:tcPr>
          <w:p>
            <w:pPr>
              <w:tabs>
                <w:tab w:val="left" w:pos="993"/>
                <w:tab w:val="right" w:pos="9498"/>
              </w:tabs>
              <w:jc w:val="center"/>
              <w:rPr>
                <w:i/>
                <w:highlight w:val="yellow"/>
              </w:rPr>
            </w:pPr>
            <w:r>
              <w:rPr>
                <w:bCs/>
              </w:rPr>
              <w:t>ОПК-2</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разрабатывать нечёткие регуляторы для систем автоматического управления</w:t>
            </w:r>
          </w:p>
        </w:tc>
        <w:tc>
          <w:tcPr>
            <w:tcW w:w="0" w:type="auto"/>
            <w:vAlign w:val="center"/>
          </w:tcPr>
          <w:p>
            <w:pPr>
              <w:tabs>
                <w:tab w:val="left" w:pos="993"/>
                <w:tab w:val="right" w:pos="9498"/>
              </w:tabs>
              <w:jc w:val="center"/>
              <w:rPr>
                <w:i/>
                <w:highlight w:val="yellow"/>
              </w:rPr>
            </w:pPr>
            <w:r>
              <w:rPr>
                <w:bCs/>
              </w:rPr>
              <w:t>ОПК-4</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оценивать эффективность нечётких систем управления методами моделирования</w:t>
            </w:r>
          </w:p>
        </w:tc>
        <w:tc>
          <w:tcPr>
            <w:tcW w:w="0" w:type="auto"/>
            <w:vAlign w:val="center"/>
          </w:tcPr>
          <w:p>
            <w:pPr>
              <w:tabs>
                <w:tab w:val="left" w:pos="993"/>
                <w:tab w:val="right" w:pos="9498"/>
              </w:tabs>
              <w:jc w:val="center"/>
              <w:rPr>
                <w:i/>
                <w:highlight w:val="yellow"/>
              </w:rPr>
            </w:pPr>
            <w:r>
              <w:rPr>
                <w:bCs/>
              </w:rPr>
              <w:t>ПК-1</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 </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 </w:t>
            </w:r>
          </w:p>
          <w:p>
            <w:pPr>
              <w:jc w:val="center"/>
            </w:pPr>
            <w:r>
              <w:t>результата </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Применяет теорию нечётких множеств</w:t>
            </w:r>
          </w:p>
        </w:tc>
        <w:tc>
          <w:tcPr>
            <w:tcW w:w="1343" w:type="dxa"/>
            <w:vAlign w:val="center"/>
          </w:tcPr>
          <w:p>
            <w:pPr>
              <w:jc w:val="center"/>
              <w:rPr>
                <w:bCs/>
              </w:rPr>
            </w:pPr>
            <w:r>
              <w:rPr>
                <w:bCs/>
              </w:rPr>
              <w:t>З(УК-1)</w:t>
            </w:r>
          </w:p>
        </w:tc>
        <w:tc>
          <w:tcPr>
            <w:tcW w:w="2591" w:type="dxa"/>
            <w:vAlign w:val="center"/>
          </w:tcPr>
          <w:p>
            <w:pPr>
              <w:jc w:val="both"/>
            </w:pPr>
            <w:r>
              <w:rPr>
                <w:bCs/>
              </w:rPr>
              <w:t>Знать: теорию нечётких множеств: функции принадлежности, операции, отношения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Применяет теорию нечётких множеств</w:t>
            </w:r>
          </w:p>
        </w:tc>
        <w:tc>
          <w:tcPr>
            <w:tcW w:w="1343" w:type="dxa"/>
            <w:vAlign w:val="center"/>
          </w:tcPr>
          <w:p>
            <w:pPr>
              <w:jc w:val="center"/>
              <w:rPr>
                <w:bCs/>
              </w:rPr>
            </w:pPr>
            <w:r>
              <w:rPr>
                <w:bCs/>
              </w:rPr>
              <w:t>У(УК-1)</w:t>
            </w:r>
          </w:p>
        </w:tc>
        <w:tc>
          <w:tcPr>
            <w:tcW w:w="2591" w:type="dxa"/>
            <w:vAlign w:val="center"/>
          </w:tcPr>
          <w:p>
            <w:pPr>
              <w:jc w:val="both"/>
            </w:pPr>
            <w:r>
              <w:rPr>
                <w:bCs/>
              </w:rPr>
              <w:t>Уметь: строить лингвистические переменные и базы нечётких правил для задач</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Применяет теорию нечётких множеств</w:t>
            </w:r>
          </w:p>
        </w:tc>
        <w:tc>
          <w:tcPr>
            <w:tcW w:w="1343" w:type="dxa"/>
            <w:vAlign w:val="center"/>
          </w:tcPr>
          <w:p>
            <w:pPr>
              <w:jc w:val="center"/>
              <w:rPr>
                <w:bCs/>
              </w:rPr>
            </w:pPr>
            <w:r>
              <w:rPr>
                <w:bCs/>
              </w:rPr>
              <w:t>В(УК-1)</w:t>
            </w:r>
          </w:p>
        </w:tc>
        <w:tc>
          <w:tcPr>
            <w:tcW w:w="2591" w:type="dxa"/>
            <w:vAlign w:val="center"/>
          </w:tcPr>
          <w:p>
            <w:pPr>
              <w:jc w:val="both"/>
            </w:pPr>
            <w:r>
              <w:rPr>
                <w:bCs/>
              </w:rPr>
              <w:t>Владеть: методами дефаззификации и построения нечётких моделей предметной области</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Проектирует нечёткие системы вывода</w:t>
            </w:r>
          </w:p>
        </w:tc>
        <w:tc>
          <w:tcPr>
            <w:tcW w:w="1343" w:type="dxa"/>
            <w:vAlign w:val="center"/>
          </w:tcPr>
          <w:p>
            <w:pPr>
              <w:jc w:val="center"/>
              <w:rPr>
                <w:bCs/>
              </w:rPr>
            </w:pPr>
            <w:r>
              <w:rPr>
                <w:bCs/>
              </w:rPr>
              <w:t>З(ОПК-2)</w:t>
            </w:r>
          </w:p>
        </w:tc>
        <w:tc>
          <w:tcPr>
            <w:tcW w:w="2591" w:type="dxa"/>
            <w:vAlign w:val="center"/>
          </w:tcPr>
          <w:p>
            <w:pPr>
              <w:jc w:val="both"/>
            </w:pPr>
            <w:r>
              <w:rPr>
                <w:bCs/>
              </w:rPr>
              <w:t>Знать: архитектуру нечётких систем вывода: фаззификатор, база правил, дефаззификатор</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Проектирует нечёткие системы вывода</w:t>
            </w:r>
          </w:p>
        </w:tc>
        <w:tc>
          <w:tcPr>
            <w:tcW w:w="1343" w:type="dxa"/>
            <w:vAlign w:val="center"/>
          </w:tcPr>
          <w:p>
            <w:pPr>
              <w:jc w:val="center"/>
              <w:rPr>
                <w:bCs/>
              </w:rPr>
            </w:pPr>
            <w:r>
              <w:rPr>
                <w:bCs/>
              </w:rPr>
              <w:t>У(ОПК-2)</w:t>
            </w:r>
          </w:p>
        </w:tc>
        <w:tc>
          <w:tcPr>
            <w:tcW w:w="2591" w:type="dxa"/>
            <w:vAlign w:val="center"/>
          </w:tcPr>
          <w:p>
            <w:pPr>
              <w:jc w:val="both"/>
            </w:pPr>
            <w:r>
              <w:rPr>
                <w:bCs/>
              </w:rPr>
              <w:t>Уметь: проектировать нечёткие системы Мамдани и Сугено в MATLAB</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Проектирует нечёткие системы вывода</w:t>
            </w:r>
          </w:p>
        </w:tc>
        <w:tc>
          <w:tcPr>
            <w:tcW w:w="1343" w:type="dxa"/>
            <w:vAlign w:val="center"/>
          </w:tcPr>
          <w:p>
            <w:pPr>
              <w:jc w:val="center"/>
              <w:rPr>
                <w:bCs/>
              </w:rPr>
            </w:pPr>
            <w:r>
              <w:rPr>
                <w:bCs/>
              </w:rPr>
              <w:t>В(ОПК-2)</w:t>
            </w:r>
          </w:p>
        </w:tc>
        <w:tc>
          <w:tcPr>
            <w:tcW w:w="2591" w:type="dxa"/>
            <w:vAlign w:val="center"/>
          </w:tcPr>
          <w:p>
            <w:pPr>
              <w:jc w:val="both"/>
            </w:pPr>
            <w:r>
              <w:rPr>
                <w:bCs/>
              </w:rPr>
              <w:t>Владеть: инструментами MATLAB Fuzzy Logic Toolbox и Simulink</w:t>
            </w:r>
          </w:p>
        </w:tc>
      </w:tr>
      <w:tr>
        <w:trPr>
          <w:jc w:val="center"/>
        </w:trPr>
        <w:tc>
          <w:tcPr>
            <w:vMerge w:val="restart"/>
            <w:tcW w:w="2717" w:type="dxa"/>
            <w:vAlign w:val="center"/>
          </w:tcPr>
          <w:p>
            <w:pPr>
              <w:tabs>
                <w:tab w:val="left" w:pos="993"/>
                <w:tab w:val="right" w:pos="9498"/>
              </w:tabs>
              <w:jc w:val="center"/>
              <w:rPr>
                <w:bCs/>
              </w:rPr>
            </w:pPr>
            <w:r>
              <w:rPr>
                <w:bCs/>
              </w:rPr>
              <w:t>ОПК-4</w:t>
            </w:r>
            <w:r/>
            <w:r>
              <w:rPr>
                <w:bCs/>
              </w:rPr>
            </w:r>
          </w:p>
          <w:p>
            <w:pPr>
              <w:jc w:val="center"/>
            </w:pPr>
          </w:p>
        </w:tc>
        <w:tc>
          <w:tcPr>
            <w:vMerge w:val="restart"/>
            <w:tcW w:w="3770" w:type="dxa"/>
          </w:tcPr>
          <w:p>
            <w:pPr>
              <w:jc w:val="both"/>
              <w:rPr>
                <w:bCs/>
              </w:rPr>
            </w:pPr>
            <w:r>
              <w:rPr>
                <w:bCs/>
              </w:rPr>
              <w:t>ОПК-4.1 Разрабатывает нечёткие регуляторы</w:t>
            </w:r>
          </w:p>
        </w:tc>
        <w:tc>
          <w:tcPr>
            <w:tcW w:w="1343" w:type="dxa"/>
            <w:vAlign w:val="center"/>
          </w:tcPr>
          <w:p>
            <w:pPr>
              <w:jc w:val="center"/>
              <w:rPr>
                <w:bCs/>
              </w:rPr>
            </w:pPr>
            <w:r>
              <w:rPr>
                <w:bCs/>
              </w:rPr>
              <w:t>З(ОПК-4)</w:t>
            </w:r>
          </w:p>
        </w:tc>
        <w:tc>
          <w:tcPr>
            <w:tcW w:w="2591" w:type="dxa"/>
            <w:vAlign w:val="center"/>
          </w:tcPr>
          <w:p>
            <w:pPr>
              <w:jc w:val="both"/>
            </w:pPr>
            <w:r>
              <w:rPr>
                <w:bCs/>
              </w:rPr>
              <w:t>Знать: принципы построения нечётких ПИД-регуляторов для систем управления</w:t>
            </w:r>
          </w:p>
        </w:tc>
      </w:tr>
      <w:tr>
        <w:trPr>
          <w:jc w:val="center"/>
        </w:trPr>
        <w:tc>
          <w:tcPr>
            <w:vMerge w:val="restart"/>
            <w:tcW w:w="2717" w:type="dxa"/>
            <w:vAlign w:val="center"/>
          </w:tcPr>
          <w:p>
            <w:pPr>
              <w:tabs>
                <w:tab w:val="left" w:pos="993"/>
                <w:tab w:val="right" w:pos="9498"/>
              </w:tabs>
              <w:jc w:val="center"/>
              <w:rPr>
                <w:bCs/>
              </w:rPr>
            </w:pPr>
            <w:r>
              <w:rPr>
                <w:bCs/>
              </w:rPr>
              <w:t>ОПК-4</w:t>
            </w:r>
            <w:r/>
            <w:r>
              <w:rPr>
                <w:bCs/>
              </w:rPr>
            </w:r>
          </w:p>
          <w:p>
            <w:pPr>
              <w:jc w:val="center"/>
            </w:pPr>
          </w:p>
        </w:tc>
        <w:tc>
          <w:tcPr>
            <w:vMerge w:val="restart"/>
            <w:tcW w:w="3770" w:type="dxa"/>
          </w:tcPr>
          <w:p>
            <w:pPr>
              <w:jc w:val="both"/>
              <w:rPr>
                <w:bCs/>
              </w:rPr>
            </w:pPr>
            <w:r>
              <w:rPr>
                <w:bCs/>
              </w:rPr>
              <w:t>ОПК-4.1 Разрабатывает нечёткие регуляторы</w:t>
            </w:r>
          </w:p>
        </w:tc>
        <w:tc>
          <w:tcPr>
            <w:tcW w:w="1343" w:type="dxa"/>
            <w:vAlign w:val="center"/>
          </w:tcPr>
          <w:p>
            <w:pPr>
              <w:jc w:val="center"/>
              <w:rPr>
                <w:bCs/>
              </w:rPr>
            </w:pPr>
            <w:r>
              <w:rPr>
                <w:bCs/>
              </w:rPr>
              <w:t>У(ОПК-4)</w:t>
            </w:r>
          </w:p>
        </w:tc>
        <w:tc>
          <w:tcPr>
            <w:tcW w:w="2591" w:type="dxa"/>
            <w:vAlign w:val="center"/>
          </w:tcPr>
          <w:p>
            <w:pPr>
              <w:jc w:val="both"/>
            </w:pPr>
            <w:r>
              <w:rPr>
                <w:bCs/>
              </w:rPr>
              <w:t>Уметь: синтезировать нечёткие регуляторы и моделировать их в Simulink</w:t>
            </w:r>
          </w:p>
        </w:tc>
      </w:tr>
      <w:tr>
        <w:trPr>
          <w:jc w:val="center"/>
        </w:trPr>
        <w:tc>
          <w:tcPr>
            <w:vMerge w:val="restart"/>
            <w:tcW w:w="2717" w:type="dxa"/>
            <w:vAlign w:val="center"/>
          </w:tcPr>
          <w:p>
            <w:pPr>
              <w:tabs>
                <w:tab w:val="left" w:pos="993"/>
                <w:tab w:val="right" w:pos="9498"/>
              </w:tabs>
              <w:jc w:val="center"/>
              <w:rPr>
                <w:bCs/>
              </w:rPr>
            </w:pPr>
            <w:r>
              <w:rPr>
                <w:bCs/>
              </w:rPr>
              <w:t>ОПК-4</w:t>
            </w:r>
            <w:r/>
            <w:r>
              <w:rPr>
                <w:bCs/>
              </w:rPr>
            </w:r>
          </w:p>
          <w:p>
            <w:pPr>
              <w:jc w:val="center"/>
            </w:pPr>
          </w:p>
        </w:tc>
        <w:tc>
          <w:tcPr>
            <w:vMerge w:val="restart"/>
            <w:tcW w:w="3770" w:type="dxa"/>
          </w:tcPr>
          <w:p>
            <w:pPr>
              <w:jc w:val="both"/>
              <w:rPr>
                <w:bCs/>
              </w:rPr>
            </w:pPr>
            <w:r>
              <w:rPr>
                <w:bCs/>
              </w:rPr>
              <w:t>ОПК-4.1 Разрабатывает нечёткие регуляторы</w:t>
            </w:r>
          </w:p>
        </w:tc>
        <w:tc>
          <w:tcPr>
            <w:tcW w:w="1343" w:type="dxa"/>
            <w:vAlign w:val="center"/>
          </w:tcPr>
          <w:p>
            <w:pPr>
              <w:jc w:val="center"/>
              <w:rPr>
                <w:bCs/>
              </w:rPr>
            </w:pPr>
            <w:r>
              <w:rPr>
                <w:bCs/>
              </w:rPr>
              <w:t>В(ОПК-4)</w:t>
            </w:r>
          </w:p>
        </w:tc>
        <w:tc>
          <w:tcPr>
            <w:tcW w:w="2591" w:type="dxa"/>
            <w:vAlign w:val="center"/>
          </w:tcPr>
          <w:p>
            <w:pPr>
              <w:jc w:val="both"/>
            </w:pPr>
            <w:r>
              <w:rPr>
                <w:bCs/>
              </w:rPr>
              <w:t>Владеть: методами настройки и верификации нечётких регуляторов</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Оценивает эффективность нечётких систем</w:t>
            </w:r>
          </w:p>
        </w:tc>
        <w:tc>
          <w:tcPr>
            <w:tcW w:w="1343" w:type="dxa"/>
            <w:vAlign w:val="center"/>
          </w:tcPr>
          <w:p>
            <w:pPr>
              <w:jc w:val="center"/>
              <w:rPr>
                <w:bCs/>
              </w:rPr>
            </w:pPr>
            <w:r>
              <w:rPr>
                <w:bCs/>
              </w:rPr>
              <w:t>З(ПК-1)</w:t>
            </w:r>
          </w:p>
        </w:tc>
        <w:tc>
          <w:tcPr>
            <w:tcW w:w="2591" w:type="dxa"/>
            <w:vAlign w:val="center"/>
          </w:tcPr>
          <w:p>
            <w:pPr>
              <w:jc w:val="both"/>
            </w:pPr>
            <w:r>
              <w:rPr>
                <w:bCs/>
              </w:rPr>
              <w:t>Знать: методы оценки качества нечётких систем: RMSE, критерии переходного процесса</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Оценивает эффективность нечётких систем</w:t>
            </w:r>
          </w:p>
        </w:tc>
        <w:tc>
          <w:tcPr>
            <w:tcW w:w="1343" w:type="dxa"/>
            <w:vAlign w:val="center"/>
          </w:tcPr>
          <w:p>
            <w:pPr>
              <w:jc w:val="center"/>
              <w:rPr>
                <w:bCs/>
              </w:rPr>
            </w:pPr>
            <w:r>
              <w:rPr>
                <w:bCs/>
              </w:rPr>
              <w:t>У(ПК-1)</w:t>
            </w:r>
          </w:p>
        </w:tc>
        <w:tc>
          <w:tcPr>
            <w:tcW w:w="2591" w:type="dxa"/>
            <w:vAlign w:val="center"/>
          </w:tcPr>
          <w:p>
            <w:pPr>
              <w:jc w:val="both"/>
            </w:pPr>
            <w:r>
              <w:rPr>
                <w:bCs/>
              </w:rPr>
              <w:t>Уметь: обучать нейро-нечёткие сети ANFIS и оценивать их обобщающую способность</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Оценивает эффективность нечётких систем</w:t>
            </w:r>
          </w:p>
        </w:tc>
        <w:tc>
          <w:tcPr>
            <w:tcW w:w="1343" w:type="dxa"/>
            <w:vAlign w:val="center"/>
          </w:tcPr>
          <w:p>
            <w:pPr>
              <w:jc w:val="center"/>
              <w:rPr>
                <w:bCs/>
              </w:rPr>
            </w:pPr>
            <w:r>
              <w:rPr>
                <w:bCs/>
              </w:rPr>
              <w:t>В(ПК-1)</w:t>
            </w:r>
          </w:p>
        </w:tc>
        <w:tc>
          <w:tcPr>
            <w:tcW w:w="2591" w:type="dxa"/>
            <w:vAlign w:val="center"/>
          </w:tcPr>
          <w:p>
            <w:pPr>
              <w:jc w:val="both"/>
            </w:pPr>
            <w:r>
              <w:rPr>
                <w:bCs/>
              </w:rPr>
              <w:t>Владеть: методами сравнения нечётких и нейро-нечётких систем управления</w:t>
            </w:r>
          </w:p>
        </w:tc>
      </w:tr>
    </w:tbl>
    <w:p>
      <w:pPr>
        <w:spacing w:after="120"/>
        <w:ind w:firstLine="708"/>
      </w:pPr>
    </w:p>
    <w:p>
      <w:pPr>
        <w:ind w:firstLine="567"/>
        <w:rPr>
          <w:b/>
          <w:bCs/>
        </w:rPr>
      </w:pPr>
      <w:r>
        <w:rPr>
          <w:b/>
          <w:bCs/>
        </w:rPr>
        <w:t>3. Структура дисциплины </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иная контактная работа (сдача зачета, экзамена,консультации)</w:t>
            </w:r>
          </w:p>
        </w:tc>
        <w:tc>
          <w:tcPr>
            <w:tcW w:w="0" w:type="auto"/>
          </w:tcPr>
          <w:p>
            <w:pPr>
              <w:pStyle w:val="a7"/>
              <w:jc w:val="center"/>
              <w:rPr>
                <w:bCs/>
                <w:sz w:val="20"/>
                <w:szCs w:val="20"/>
              </w:rPr>
            </w:pPr>
            <w:r>
              <w:rPr>
                <w:b/>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сдаче зачета, экзамена</w:t>
            </w:r>
          </w:p>
        </w:tc>
        <w:tc>
          <w:tcPr>
            <w:tcW w:w="0" w:type="auto"/>
          </w:tcPr>
          <w:p>
            <w:pPr>
              <w:pStyle w:val="a7"/>
              <w:jc w:val="center"/>
              <w:rPr>
                <w:bCs/>
                <w:sz w:val="20"/>
                <w:szCs w:val="20"/>
              </w:rPr>
            </w:pPr>
            <w:r>
              <w:rPr>
                <w:b/>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 </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t>Номер темы</w:t>
            </w:r>
          </w:p>
          <w:p>
            <w:pPr>
              <w:shd w:val="clear" w:color="auto" w:fill="FFFFFF"/>
              <w:jc w:val="center"/>
            </w:pPr>
            <w:r>
              <w:rPr>
                <w:sz w:val="20"/>
                <w:szCs w:val="20"/>
              </w:rPr>
              <w:t>(раздела)</w:t>
            </w:r>
          </w:p>
        </w:tc>
        <w:tc>
          <w:tcPr>
            <w:tcW w:w="0" w:type="auto"/>
            <w:vMerge w:val="restart"/>
            <w:vAlign w:val="center"/>
          </w:tcPr>
          <w:p>
            <w:pPr>
              <w:shd w:val="clear" w:color="auto" w:fill="FFFFFF"/>
              <w:jc w:val="center"/>
            </w:pPr>
            <w:r>
              <w:t>Название темы (раздела)</w:t>
            </w:r>
          </w:p>
        </w:tc>
        <w:tc>
          <w:tcPr>
            <w:tcW w:w="0" w:type="auto"/>
            <w:vMerge w:val="restart"/>
            <w:textDirection w:val="btLr"/>
            <w:vAlign w:val="center"/>
          </w:tcPr>
          <w:p>
            <w:pPr>
              <w:shd w:val="clear" w:color="auto" w:fill="FFFFFF"/>
              <w:jc w:val="center"/>
              <w:rPr>
                <w:sz w:val="20"/>
                <w:szCs w:val="20"/>
              </w:rPr>
            </w:pPr>
            <w:r>
              <w:rPr>
                <w:sz w:val="20"/>
                <w:szCs w:val="20"/>
              </w:rPr>
              <w:t>Семестр</w:t>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t>Шифр</w:t>
            </w:r>
          </w:p>
          <w:p>
            <w:pPr>
              <w:shd w:val="clear" w:color="auto" w:fill="FFFFFF"/>
              <w:jc w:val="center"/>
            </w:pPr>
            <w:r>
              <w:t>результата обучения</w:t>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c>
          <w:tcPr>
            <w:tcW w:w="0" w:type="auto"/>
            <w:vAlign w:val="center"/>
          </w:tcPr>
          <w:p>
            <w:pPr>
              <w:pStyle w:val="a7"/>
              <w:jc w:val="center"/>
              <w:rPr>
                <w:bCs/>
                <w:sz w:val="20"/>
                <w:szCs w:val="20"/>
              </w:rPr>
            </w:pPr>
            <w:r>
              <w:rPr>
                <w:bCs/>
                <w:sz w:val="20"/>
                <w:szCs w:val="20"/>
              </w:rPr>
              <w:t>1</w:t>
            </w:r>
          </w:p>
        </w:tc>
        <w:tc>
          <w:tcPr>
            <w:tcW w:w="0" w:type="auto"/>
            <w:vAlign w:val="center"/>
          </w:tcPr>
          <w:p>
            <w:pPr>
              <w:pStyle w:val="a7"/>
              <w:rPr>
                <w:bCs/>
                <w:sz w:val="20"/>
                <w:szCs w:val="20"/>
              </w:rPr>
            </w:pPr>
            <w:r>
              <w:rPr>
                <w:bCs/>
                <w:sz w:val="20"/>
                <w:szCs w:val="20"/>
              </w:rPr>
              <w:t>Теория нечётких множеств и нечёткая логика</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3</w:t>
            </w:r>
          </w:p>
        </w:tc>
        <w:tc>
          <w:tcPr>
            <w:tcW w:w="0" w:type="auto"/>
            <w:vAlign w:val="center"/>
          </w:tcPr>
          <w:p>
            <w:pPr>
              <w:pStyle w:val="a7"/>
              <w:jc w:val="center"/>
              <w:rPr>
                <w:bCs/>
                <w:sz w:val="20"/>
                <w:szCs w:val="20"/>
              </w:rPr>
            </w:pPr>
            <w:r>
              <w:rPr>
                <w:bCs/>
                <w:sz w:val="20"/>
                <w:szCs w:val="20"/>
              </w:rPr>
              <w:t>9</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
                <w:bCs/>
                <w:sz w:val="20"/>
                <w:szCs w:val="20"/>
              </w:rPr>
              <w:t>34</w:t>
            </w:r>
          </w:p>
        </w:tc>
        <w:tc>
          <w:tcPr>
            <w:tcW w:w="0" w:type="auto"/>
          </w:tcPr>
          <w:p>
            <w:pPr>
              <w:pStyle w:val="a7"/>
              <w:rPr>
                <w:bCs/>
                <w:sz w:val="20"/>
                <w:szCs w:val="20"/>
              </w:rPr>
            </w:pPr>
            <w:r>
              <w:rPr>
                <w:bCs/>
                <w:sz w:val="20"/>
                <w:szCs w:val="20"/>
              </w:rPr>
              <w:t>З(УК-1)</w:t>
              <w:br/>
              <w:t>У(УК-1)</w:t>
              <w:br/>
              <w:t>В(ОПК-2)</w:t>
            </w:r>
          </w:p>
        </w:tc>
      </w:tr>
      <w:tr>
        <w:tc>
          <w:tcPr>
            <w:tcW w:w="0" w:type="auto"/>
            <w:vAlign w:val="center"/>
          </w:tcPr>
          <w:p>
            <w:pPr>
              <w:pStyle w:val="a7"/>
              <w:jc w:val="center"/>
              <w:rPr>
                <w:bCs/>
                <w:sz w:val="20"/>
                <w:szCs w:val="20"/>
              </w:rPr>
            </w:pPr>
            <w:r>
              <w:rPr>
                <w:bCs/>
                <w:sz w:val="20"/>
                <w:szCs w:val="20"/>
              </w:rPr>
              <w:t>2</w:t>
            </w:r>
          </w:p>
        </w:tc>
        <w:tc>
          <w:tcPr>
            <w:tcW w:w="0" w:type="auto"/>
            <w:vAlign w:val="center"/>
          </w:tcPr>
          <w:p>
            <w:pPr>
              <w:pStyle w:val="a7"/>
              <w:rPr>
                <w:bCs/>
                <w:sz w:val="20"/>
                <w:szCs w:val="20"/>
              </w:rPr>
            </w:pPr>
            <w:r>
              <w:rPr>
                <w:bCs/>
                <w:sz w:val="20"/>
                <w:szCs w:val="20"/>
              </w:rPr>
              <w:t>Нечёткие системы вывода и лингвистические переменные</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3</w:t>
            </w:r>
          </w:p>
        </w:tc>
        <w:tc>
          <w:tcPr>
            <w:tcW w:w="0" w:type="auto"/>
            <w:vAlign w:val="center"/>
          </w:tcPr>
          <w:p>
            <w:pPr>
              <w:pStyle w:val="a7"/>
              <w:jc w:val="center"/>
              <w:rPr>
                <w:bCs/>
                <w:sz w:val="20"/>
                <w:szCs w:val="20"/>
              </w:rPr>
            </w:pPr>
            <w:r>
              <w:rPr>
                <w:bCs/>
                <w:sz w:val="20"/>
                <w:szCs w:val="20"/>
              </w:rPr>
              <w:t>9</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
                <w:bCs/>
                <w:sz w:val="20"/>
                <w:szCs w:val="20"/>
              </w:rPr>
              <w:t>34</w:t>
            </w:r>
          </w:p>
        </w:tc>
        <w:tc>
          <w:tcPr>
            <w:tcW w:w="0" w:type="auto"/>
          </w:tcPr>
          <w:p>
            <w:pPr>
              <w:pStyle w:val="a7"/>
              <w:rPr>
                <w:bCs/>
                <w:sz w:val="20"/>
                <w:szCs w:val="20"/>
              </w:rPr>
            </w:pPr>
            <w:r>
              <w:rPr>
                <w:bCs/>
                <w:sz w:val="20"/>
                <w:szCs w:val="20"/>
              </w:rPr>
              <w:t>З(УК-1)</w:t>
              <w:br/>
              <w:t>У(УК-1)</w:t>
              <w:br/>
              <w:t>В(ОПК-2)</w:t>
            </w:r>
          </w:p>
        </w:tc>
      </w:tr>
      <w:tr>
        <w:tc>
          <w:tcPr>
            <w:tcW w:w="0" w:type="auto"/>
            <w:vAlign w:val="center"/>
          </w:tcPr>
          <w:p>
            <w:pPr>
              <w:pStyle w:val="a7"/>
              <w:jc w:val="center"/>
              <w:rPr>
                <w:bCs/>
                <w:sz w:val="20"/>
                <w:szCs w:val="20"/>
              </w:rPr>
            </w:pPr>
            <w:r>
              <w:rPr>
                <w:bCs/>
                <w:sz w:val="20"/>
                <w:szCs w:val="20"/>
              </w:rPr>
              <w:t>3</w:t>
            </w:r>
          </w:p>
        </w:tc>
        <w:tc>
          <w:tcPr>
            <w:tcW w:w="0" w:type="auto"/>
            <w:vAlign w:val="center"/>
          </w:tcPr>
          <w:p>
            <w:pPr>
              <w:pStyle w:val="a7"/>
              <w:rPr>
                <w:bCs/>
                <w:sz w:val="20"/>
                <w:szCs w:val="20"/>
              </w:rPr>
            </w:pPr>
            <w:r>
              <w:rPr>
                <w:bCs/>
                <w:sz w:val="20"/>
                <w:szCs w:val="20"/>
              </w:rPr>
              <w:t>Нечёткие регуляторы и системы управления</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3</w:t>
            </w:r>
          </w:p>
        </w:tc>
        <w:tc>
          <w:tcPr>
            <w:tcW w:w="0" w:type="auto"/>
            <w:vAlign w:val="center"/>
          </w:tcPr>
          <w:p>
            <w:pPr>
              <w:pStyle w:val="a7"/>
              <w:jc w:val="center"/>
              <w:rPr>
                <w:bCs/>
                <w:sz w:val="20"/>
                <w:szCs w:val="20"/>
              </w:rPr>
            </w:pPr>
            <w:r>
              <w:rPr>
                <w:bCs/>
                <w:sz w:val="20"/>
                <w:szCs w:val="20"/>
              </w:rPr>
              <w:t>9</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
                <w:bCs/>
                <w:sz w:val="20"/>
                <w:szCs w:val="20"/>
              </w:rPr>
              <w:t>34</w:t>
            </w:r>
          </w:p>
        </w:tc>
        <w:tc>
          <w:tcPr>
            <w:tcW w:w="0" w:type="auto"/>
          </w:tcPr>
          <w:p>
            <w:pPr>
              <w:pStyle w:val="a7"/>
              <w:rPr>
                <w:bCs/>
                <w:sz w:val="20"/>
                <w:szCs w:val="20"/>
              </w:rPr>
            </w:pPr>
            <w:r>
              <w:rPr>
                <w:bCs/>
                <w:sz w:val="20"/>
                <w:szCs w:val="20"/>
              </w:rPr>
              <w:t>З(УК-1)</w:t>
              <w:br/>
              <w:t>У(УК-1)</w:t>
              <w:br/>
              <w:t>В(ОПК-2)</w:t>
            </w:r>
          </w:p>
        </w:tc>
      </w:tr>
      <w:tr>
        <w:tc>
          <w:tcPr>
            <w:tcW w:w="0" w:type="auto"/>
            <w:vAlign w:val="center"/>
          </w:tcPr>
          <w:p>
            <w:pPr>
              <w:pStyle w:val="a7"/>
              <w:jc w:val="center"/>
              <w:rPr>
                <w:bCs/>
                <w:sz w:val="20"/>
                <w:szCs w:val="20"/>
              </w:rPr>
            </w:pPr>
            <w:r>
              <w:rPr>
                <w:bCs/>
                <w:sz w:val="20"/>
                <w:szCs w:val="20"/>
              </w:rPr>
              <w:t>4</w:t>
            </w:r>
          </w:p>
        </w:tc>
        <w:tc>
          <w:tcPr>
            <w:tcW w:w="0" w:type="auto"/>
            <w:vAlign w:val="center"/>
          </w:tcPr>
          <w:p>
            <w:pPr>
              <w:pStyle w:val="a7"/>
              <w:rPr>
                <w:bCs/>
                <w:sz w:val="20"/>
                <w:szCs w:val="20"/>
              </w:rPr>
            </w:pPr>
            <w:r>
              <w:rPr>
                <w:bCs/>
                <w:sz w:val="20"/>
                <w:szCs w:val="20"/>
              </w:rPr>
              <w:t>Нейро-нечёткие и адаптивные системы</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3</w:t>
            </w:r>
          </w:p>
        </w:tc>
        <w:tc>
          <w:tcPr>
            <w:tcW w:w="0" w:type="auto"/>
            <w:vAlign w:val="center"/>
          </w:tcPr>
          <w:p>
            <w:pPr>
              <w:pStyle w:val="a7"/>
              <w:jc w:val="center"/>
              <w:rPr>
                <w:bCs/>
                <w:sz w:val="20"/>
                <w:szCs w:val="20"/>
              </w:rPr>
            </w:pPr>
            <w:r>
              <w:rPr>
                <w:bCs/>
                <w:sz w:val="20"/>
                <w:szCs w:val="20"/>
              </w:rPr>
              <w:t>9</w:t>
            </w:r>
          </w:p>
        </w:tc>
        <w:tc>
          <w:tcPr>
            <w:tcW w:w="0" w:type="auto"/>
            <w:vAlign w:val="center"/>
          </w:tcPr>
          <w:p>
            <w:pPr>
              <w:pStyle w:val="a7"/>
              <w:jc w:val="center"/>
              <w:rPr>
                <w:bCs/>
                <w:sz w:val="20"/>
                <w:szCs w:val="20"/>
              </w:rPr>
            </w:pPr>
            <w:r>
              <w:rPr>
                <w:bCs/>
                <w:sz w:val="20"/>
                <w:szCs w:val="20"/>
              </w:rPr>
              <w:t>4</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
                <w:bCs/>
                <w:sz w:val="20"/>
                <w:szCs w:val="20"/>
              </w:rPr>
              <w:t>34</w:t>
            </w:r>
          </w:p>
        </w:tc>
        <w:tc>
          <w:tcPr>
            <w:tcW w:w="0" w:type="auto"/>
          </w:tcPr>
          <w:p>
            <w:pPr>
              <w:pStyle w:val="a7"/>
              <w:rPr>
                <w:bCs/>
                <w:sz w:val="20"/>
                <w:szCs w:val="20"/>
              </w:rPr>
            </w:pPr>
            <w:r>
              <w:rPr>
                <w:bCs/>
                <w:sz w:val="20"/>
                <w:szCs w:val="20"/>
              </w:rPr>
              <w:t>З(УК-1)</w:t>
              <w:br/>
              <w:t>У(УК-1)</w:t>
              <w:br/>
              <w:t>В(ОПК-2)</w:t>
            </w: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1-Теория нечётких множеств</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Лекция 1. Нечёткие множества: функции принадлежности, операции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2</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1-Теория нечётких множеств</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Лекция 2. Нечёткие отношения и нечёткая алгебра</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2</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2-Нечёткий вывод</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Лекция 3. Лингвистические переменные и правила нечёткого вывода</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2</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2-Нечёткий вывод</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Лекция 4. Методы дефаззификации: центроидный, максимума, средневзвешенный</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2</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3-Нечёткое управление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Лекция 5. Нечёткий ПИД-регулятор: структура и синтез</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2</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3-Нечёткое управление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Лекция 6. Сравнение систем Мамдани и Сугено для задач управления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2</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4-Нейро-нечёткие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Лекция 7. Адаптивные нейро-нечёткие системы вывода ANFIS</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1</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1-Теория нечётких множеств</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Построение функций принадлежности: треугольная, трапециевидная, гауссова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2-Нечёткий вывод</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Проектирование базы нечётких правил для системы управления температурой</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3-Нечёткое управление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Реализация нечёткого регулятора в MATLAB Fuzzy Logic Toolbox</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3-Нечёткое управление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Моделирование нечёткой системы управления в Simulink</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4-Нейро-нечёткие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Обучение нейро-нечёткой сети ANFIS на экспериментальных данных</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4-Нейро-нечёткие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Сравнение нечёткого и нейро-нечёткого регулятора по критериям качества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ИТОГО:</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12</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1-Теория нечётких множеств</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Операции над нечёткими множествами: объединение, пересечение, дополнение</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2-Нечёткий вывод</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Формирование базы нечётких правил методом экспертных оценок</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2-Нечёткий вывод</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Выбор метода дефаззификации и анализ его влияния на точность</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3-Нечёткое управление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Настройка параметров нечёткого регулятора методом проб и ошибок</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3-Нечёткое управление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Исследование устойчивости нечёткой системы управления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4-Нейро-нечёткие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Оценка обобщающей способности ANFIS на тестовой выборке</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ИТОГО:</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12</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самостоятельную проработку</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сдаче зачета, экзамена</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и подготовка к защите РГР работы, реферата, патентных исследований, аналитических исследований и т.п</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98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 </w:t>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br/>
        <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 </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 </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 </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 </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 </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 </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 </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http://elibrary.ru/project_author_tools.asp </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https://link.springer.com/.</w:t>
            </w:r>
          </w:p>
        </w:tc>
      </w:tr>
      <w:tr>
        <w:tc>
          <w:tcPr>
            <w:tcW w:w="7479" w:type="dxa"/>
            <w:shd w:val="clear" w:color="auto" w:fill="auto"/>
          </w:tcPr>
          <w:p>
            <w:r>
              <w:rPr>
                <w:bCs/>
                <w:sz w:val="20"/>
                <w:szCs w:val="20"/>
              </w:rPr>
              <w:t>Web of Science Core Collection </w:t>
            </w:r>
          </w:p>
        </w:tc>
        <w:tc>
          <w:tcPr>
            <w:tcW w:w="2942" w:type="dxa"/>
            <w:shd w:val="clear" w:color="auto" w:fill="auto"/>
          </w:tcPr>
          <w:p>
            <w:r>
              <w:rPr>
                <w:bCs/>
                <w:sz w:val="20"/>
                <w:szCs w:val="20"/>
              </w:rPr>
              <w:t>http://webofscience.com/.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 </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E8200(1);Компьютер WIN i3-550(2);Компьютер персональный i3-4170/21,5" PHILIPS 226V4LAB(1);МФУ hp Laser Jet Pro M1536dnf&lt;CE538A&gt;A4(1);Монитор 19" Acer(1);Монитор ASUS VA24DQ Black 23,8", шт(3);Сервисное устройство д\очистки Katun 3 м(1);Системный блок CRONA:i7 11700/DDR4 2*16GB/SSD 250Gb Samsung/HDD 1Tb/600W(3);Шкаф(ы)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 </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D-SUB(1);Настенный экран Master Picture 244x244 MW(1);Проектор Acer ProjectorP1203(1);мультимедиапроектор;Учебно-наглядные пособия по дисциплине,набор демонстрационного  оборудования; Столы, стулья; </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LSG405HF(1);Компьютер i3-3220 K1 BenQ 21,5"(2);Компьютер i3-3240 21.5" Acer(2);Компьютер ПК НИКС\i3-4170\21.5"(1);Компьютер персональный-неттоп Celeron J1900/4Gb(1);Контрольно-кассовая машина Пионер 114Ф с ФН(1);МФУ hp Laser Jet Pro M1132&lt;CE847A&gt;A4(1);Монитор  BENQ E 2210 HDA(1);Монитор  Beng(2);Монитор 21.5 "BenQ GW2265HM(1);Планшет DIGMA EVE 1806, 2GB, 32Gb, Windows 10черный(1);Принтер Laser Jet 1020(1);Сканер Plustek Optic Book 4800(1);Универсальная RFID станция книговыдачи/программирования меток(3);Чековый принтер АТОЛ RP-326-USE черный Rev.6(3);Ящик каталожный 40 ячеек(5);Доступ к электронной информационно-образовательной среде (Корпоративная информационная система УГНТУ); Доступ в интернет; </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 </w:t>
      </w:r>
      <w:r>
        <w:rPr>
          <w:b/>
          <w:i w:val="0"/>
        </w:rPr>
        <w:t>программного обеспечения, используемых в учебном процессе при освоении дисциплины </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 </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 </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 xml:space="preserve">: </w:t>
      </w:r>
      <w:r>
        <w:rPr>
          <w:bCs/>
          <w:color w:val="000000"/>
          <w:u w:val="single"/>
        </w:rPr>
        <w:t>(37895)(38014)Нечёткая логика и нечёткое управление</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Заде, Л. А. Нечёткие множества, нечёткая логика и нечёткие алгоритмы / Л. А. Заде. — Москва : Радио и связь, 1990. — 408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Прикладные нечёткие системы / Тэрано Т. и др. — Москва : Мир, 1993. — 368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http://e.lanbook.com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Штовба, С. Д. Проектирование нечётких систем средствами MATLAB / С. Д. Штовба. — Москва : Горячая линия-Телеком, 2007. — 288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http://biblio-online.ru</w:t>
            </w:r>
          </w:p>
        </w:tc>
        <w:tc>
          <w:tcPr>
            <w:tcW w:w="0" w:type="auto"/>
            <w:shd w:val="clear" w:color="auto" w:fill="auto"/>
          </w:tcPr>
          <w:p>
            <w:pPr>
              <w:rPr>
                <w:bCs/>
                <w:sz w:val="20"/>
                <w:szCs w:val="20"/>
              </w:rPr>
            </w:pPr>
            <w:r>
              <w:rPr>
                <w:bCs/>
                <w:sz w:val="20"/>
                <w:szCs w:val="20"/>
              </w:rPr>
              <w:t>0.50</w:t>
            </w:r>
          </w:p>
        </w:tc>
      </w:tr>
    </w:tbl>
    <w:p>
      <w:pPr>
        <w:spacing w:before="120"/>
      </w:pPr>
      <w:r>
        <w:t>Составил: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 </w:t>
      </w:r>
      <w:r>
        <w:rPr>
          <w:bCs/>
        </w:rPr>
        <w:t>2022</w:t>
      </w:r>
      <w:r>
        <w:t> г.</w:t>
      </w:r>
    </w:p>
    <w:p>
      <w:r>
        <w:br w:type="page"/>
      </w:r>
    </w:p>
    <w:p>
      <w:pPr>
        <w:ind w:left="10659"/>
        <w:jc w:val="right"/>
        <w:rPr>
          <w:sz w:val="20"/>
          <w:szCs w:val="20"/>
        </w:rPr>
      </w:pPr>
      <w:r>
        <w:rPr>
          <w:sz w:val="20"/>
          <w:szCs w:val="20"/>
        </w:rPr>
        <w:t>Форма № УЛ-2</w:t>
      </w:r>
    </w:p>
    <w:p>
      <w:pPr>
        <w:jc w:val="center"/>
        <w:rPr>
          <w:b/>
        </w:rPr>
      </w:pPr>
      <w:r>
        <w:rPr>
          <w:b/>
        </w:rPr>
        <w:t>СВЕДЕНИЯ </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 xml:space="preserve">: </w:t>
      </w:r>
      <w:r>
        <w:rPr>
          <w:u w:val="single"/>
        </w:rPr>
        <w:t>(</w:t>
      </w:r>
      <w:r>
        <w:rPr>
          <w:bCs/>
          <w:color w:val="000000"/>
          <w:u w:val="single"/>
        </w:rPr>
        <w:t>37895</w:t>
      </w:r>
      <w:r>
        <w:rPr>
          <w:u w:val="single"/>
        </w:rPr>
        <w:t>)</w:t>
      </w:r>
      <w:r>
        <w:rPr>
          <w:bCs/>
          <w:color w:val="000000"/>
          <w:u w:val="single"/>
        </w:rPr>
        <w:t>(38014)Нечёткая логика и нечёткое управление</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http://www.e.lanbook.com</w:t>
            </w:r>
          </w:p>
        </w:tc>
        <w:tc>
          <w:tcPr>
            <w:tcW w:w="0" w:type="auto"/>
          </w:tcPr>
          <w:p>
            <w:pPr>
              <w:rPr>
                <w:bCs/>
                <w:sz w:val="20"/>
                <w:szCs w:val="20"/>
              </w:rPr>
            </w:pPr>
            <w:r>
              <w:rPr>
                <w:bCs/>
                <w:sz w:val="20"/>
                <w:szCs w:val="20"/>
              </w:rPr>
              <w:t> 1.00</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t/>
            </w:r>
          </w:p>
        </w:tc>
        <w:tc>
          <w:tcPr>
            <w:tcW w:w="0" w:type="auto"/>
          </w:tcPr>
          <w:p>
            <w:pPr>
              <w:jc w:val="center"/>
              <w:rPr>
                <w:bCs/>
                <w:sz w:val="20"/>
                <w:szCs w:val="20"/>
              </w:rPr>
            </w:pPr>
            <w:r>
              <w:rPr>
                <w:bCs/>
                <w:sz w:val="20"/>
                <w:szCs w:val="20"/>
              </w:rPr>
              <w:t/>
            </w:r>
          </w:p>
        </w:tc>
        <w:tc>
          <w:tcPr>
            <w:tcW w:w="0" w:type="auto"/>
          </w:tcPr>
          <w:p>
            <w:pPr>
              <w:rPr>
                <w:bCs/>
                <w:sz w:val="20"/>
                <w:szCs w:val="20"/>
              </w:rPr>
            </w:pPr>
            <w:r>
              <w:rPr>
                <w:bCs/>
                <w:sz w:val="20"/>
                <w:szCs w:val="20"/>
              </w:rP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 1.00</w:t>
            </w:r>
          </w:p>
        </w:tc>
      </w:tr>
      <w:tr>
        <w:trPr>
          <w:cantSplit/>
          <w:trHeight w:val="211"/>
          <w:jc w:val="center"/>
        </w:trPr>
        <w:tc>
          <w:tcPr>
            <w:tcW w:w="0" w:type="auto"/>
            <w:gridSpan w:val="9"/>
            <w:tcBorders>
              <w:bottom w:val="single" w:sz="4" w:space="0" w:color="auto"/>
            </w:tcBorders>
          </w:tcPr>
          <w:p>
            <w:pPr>
              <w:rPr>
                <w:sz w:val="18"/>
                <w:szCs w:val="18"/>
              </w:rPr>
            </w:pPr>
            <w:r>
              <w:rPr>
                <w:sz w:val="18"/>
                <w:szCs w:val="18"/>
              </w:rPr>
              <w:t>Примечание – Графы 1-5,8 заполняются кафедрой, графы 6,7 и 9 - библиотекой</w:t>
            </w:r>
          </w:p>
        </w:tc>
      </w:tr>
    </w:tbl>
    <w:p>
      <w:pPr>
        <w:rPr>
          <w:bCs/>
          <w:sz w:val="22"/>
          <w:szCs w:val="22"/>
        </w:rPr>
      </w:pPr>
    </w:p>
    <w:p>
      <w:pPr>
        <w:ind w:left="399"/>
        <w:jc w:val="center"/>
        <w:rPr>
          <w:color w:val="FFFFFF"/>
          <w:sz w:val="16"/>
          <w:szCs w:val="16"/>
        </w:rPr>
      </w:pPr>
      <w:r>
        <w:rPr>
          <w:color w:val="FFFFFF"/>
          <w:sz w:val="16"/>
          <w:szCs w:val="16"/>
          <w:u w:val="single"/>
        </w:rPr>
        <w:t>                                                  наименование </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 </w:t>
      </w:r>
      <w:r>
        <w:rPr>
          <w:bCs/>
        </w:rPr>
        <w:t>2022</w:t>
      </w:r>
      <w:r>
        <w:t> 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(38014)Нечёткая логика и нечёткое управление</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 </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 </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 </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 </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 </w:t>
      </w:r>
      <w:r>
        <w:rPr>
          <w:bCs/>
          <w:color w:val="000000"/>
          <w:u w:val="single"/>
        </w:rPr>
        <w:t>4 з.е.  (144час)</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 </w:t>
      </w:r>
      <w:r>
        <w:t>2022</w:t>
      </w:r>
    </w:p>
    <w:p>
      <w:pPr>
        <w:rPr>
          <w:sz w:val="16"/>
          <w:szCs w:val="16"/>
        </w:rPr>
      </w:pPr>
      <w:r>
        <w:rPr>
          <w:sz w:val="16"/>
          <w:szCs w:val="16"/>
        </w:rPr>
        <w:br w:type="page"/>
      </w:r>
    </w:p>
    <w:p>
      <w:pPr>
        <w:rPr>
          <w:bCs/>
        </w:rPr>
      </w:pPr>
      <w:r>
        <w:rPr>
          <w:bCs/>
        </w:rPr>
        <w:t>ФОС </w:t>
      </w:r>
      <w:r>
        <w:t>по текущей успеваемости и промежуточной аттестации по дисциплине </w:t>
      </w:r>
      <w:r>
        <w:rPr>
          <w:bCs/>
        </w:rPr>
        <w:t> 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 </w:t>
      </w:r>
      <w:r>
        <w:rPr>
          <w:i w:val="0"/>
        </w:rPr>
        <w:t>по текущей успеваемости и промежуточной аттестации по дисциплине </w:t>
      </w:r>
      <w:r>
        <w:rPr>
          <w:bCs/>
          <w:i w:val="0"/>
        </w:rPr>
        <w:t>рассмотрен и одобрен на заседании кафедры Вычислительная техника и инженерная кибернетика (ВТИК);, обеспечивающей </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 .. </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 .. </w:t>
      </w:r>
    </w:p>
    <w:p>
      <w:pPr>
        <w:rPr>
          <w:bCs/>
        </w:rPr>
      </w:pPr>
    </w:p>
    <w:p>
      <w:pPr>
        <w:rPr>
          <w:bCs/>
        </w:rPr>
      </w:pPr>
    </w:p>
    <w:p>
      <w:pPr>
        <w:rPr>
          <w:bCs/>
        </w:rPr>
      </w:pPr>
    </w:p>
    <w:p>
      <w:pPr>
        <w:rPr>
          <w:i/>
        </w:rPr>
      </w:pPr>
    </w:p>
    <w:p>
      <w:pPr>
        <w:rPr>
          <w:bCs/>
        </w:rPr>
      </w:pPr>
      <w:r>
        <w:rPr>
          <w:bCs/>
        </w:rPr>
        <w:t>Год приема 2022 г. </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 </w:t>
      </w:r>
    </w:p>
    <w:p>
      <w:pPr>
        <w:jc w:val="both"/>
      </w:pPr>
      <w:r>
        <w:t>зарегистрирован  </w:t>
      </w:r>
      <w:r>
        <w:rPr>
          <w:bCs/>
        </w:rPr>
        <w:t>08.06.2022 </w:t>
      </w:r>
      <w:r>
        <w:t>№ </w:t>
      </w:r>
      <w:r>
        <w:rPr>
          <w:bCs/>
          <w:u w:val="single"/>
        </w:rPr>
        <w:t>6</w:t>
      </w:r>
      <w:r>
        <w:t>   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 </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 </w:t>
            </w:r>
          </w:p>
        </w:tc>
        <w:tc>
          <w:tcPr>
            <w:tcW w:w="1251" w:type="dxa"/>
            <w:vAlign w:val="center"/>
          </w:tcPr>
          <w:p>
            <w:pPr>
              <w:contextualSpacing/>
              <w:jc w:val="center"/>
            </w:pPr>
            <w:r>
              <w:t>Вид</w:t>
            </w:r>
          </w:p>
          <w:p>
            <w:pPr>
              <w:contextualSpacing/>
              <w:jc w:val="center"/>
            </w:pPr>
            <w:r>
              <w:t>оценочного средства</w:t>
            </w:r>
          </w:p>
        </w:tc>
      </w:tr>
      <w:tr>
        <w:trPr>
          <w:trHeight w:val="417"/>
        </w:trPr>
        <w:tc>
          <w:tcPr>
            <w:vMerge w:val="restart"/>
            <w:tcW w:w="817" w:type="dxa"/>
          </w:tcPr>
          <w:p>
            <w:pPr>
              <w:numPr>
                <w:ilvl w:val="0"/>
                <w:numId w:val="6"/>
              </w:numPr>
              <w:jc w:val="center"/>
            </w:pPr>
            <w:r>
              <w:t/>
            </w:r>
          </w:p>
        </w:tc>
        <w:tc>
          <w:tcPr>
            <w:vMerge w:val="restart"/>
            <w:tcW w:w="2977" w:type="dxa"/>
          </w:tcPr>
          <w:p>
            <w:r>
              <w:t>Организация научно-исследовательской работы в России</w:t>
            </w:r>
          </w:p>
        </w:tc>
        <w:tc>
          <w:tcPr>
            <w:vMerge w:val="restart"/>
            <w:tcW w:w="1701" w:type="dxa"/>
          </w:tcPr>
          <w:p>
            <w:pPr>
              <w:jc w:val="center"/>
            </w:pPr>
            <w:r>
              <w:t>В(ПК-3)</w:t>
            </w:r>
          </w:p>
        </w:tc>
        <w:tc>
          <w:tcPr>
            <w:vMerge w:val="restart"/>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Готовитзаявку на регистрацию программы для ЭВМ</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Готовит презентацию по материалам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В(ПК-3)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Рецензия на ВКР, статью, диссертацию</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ПК-3.1 Составляет руководства пользователя программным продуктом</w:t>
            </w:r>
          </w:p>
        </w:tc>
        <w:tc>
          <w:tcPr>
            <w:tcW w:w="2653" w:type="dxa"/>
          </w:tcPr>
          <w:p>
            <w:r>
              <w:t>выбирает необходимые и наиболее оптимальные методы исследования</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ПК-3.2 Согласовывает регламенты разработки технической документации по использованию программного средства</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ПК-3.3 Готовит описания методик разработки компонентов программных комплексов, используемых на предприятии</w:t>
            </w:r>
          </w:p>
        </w:tc>
        <w:tc>
          <w:tcPr>
            <w:tcW w:w="2653" w:type="dxa"/>
          </w:tcPr>
          <w:p>
            <w:r>
              <w:t>Составляет структурно-функциональную модель своей ВКР</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ПК-3.4 Готовит описания методик применения программных комплексов, используемых на предприятии</w:t>
            </w:r>
          </w:p>
        </w:tc>
        <w:tc>
          <w:tcPr>
            <w:tcW w:w="2653" w:type="dxa"/>
          </w:tcPr>
          <w:p>
            <w:r>
              <w:t>Готовит отчеты по выполненным лабораторным работам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З(ПК-3)</w:t>
            </w:r>
          </w:p>
        </w:tc>
        <w:tc>
          <w:tcPr>
            <w:vMerge w:val="continue"/>
            <w:tcW w:w="2835" w:type="dxa"/>
          </w:tcPr>
          <w:p>
            <w:pPr>
              <w:jc w:val="center"/>
            </w:pPr>
            <w:r>
              <w:t>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tc>
        <w:tc>
          <w:tcPr>
            <w:tcW w:w="2835" w:type="dxa"/>
          </w:tcPr>
          <w:p>
            <w:r>
              <w:t>ПК-3.5 Проводит консультирование работников по использованию программно-методических комплексов предприятия</w:t>
            </w:r>
          </w:p>
        </w:tc>
        <w:tc>
          <w:tcPr>
            <w:tcW w:w="2653" w:type="dxa"/>
          </w:tcPr>
          <w:p>
            <w:r>
              <w:t>Готовит рецензию на свою выпускную квалификационную работу или статью своего научного руководителя или на автореферат кандидатской диссертации по близкой тематике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Готовит литературный обзор по материалам своей выпускной квалификационной работы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заявку на регистрацию программы для ЭВМ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Находит не менее 10 авторефератов кандидатских диссертаций по выбранному паспорту специальности, наиболее близких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Организация научно-исследовательской работы в России</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Этапы научного исследования</w:t>
            </w:r>
          </w:p>
        </w:tc>
        <w:tc>
          <w:tcPr>
            <w:vMerge w:val="restart"/>
            <w:tcW w:w="1701" w:type="dxa"/>
          </w:tcPr>
          <w:p>
            <w:pPr>
              <w:jc w:val="center"/>
            </w:pPr>
            <w:r>
              <w:t>В(ПК-5)</w:t>
            </w:r>
          </w:p>
        </w:tc>
        <w:tc>
          <w:tcPr>
            <w:vMerge w:val="restart"/>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ПК-5.1 Использует теоретические методики целеполагания для программных систем</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ПК-5.2 Оформляет технические задания на разработку программных средств с описанием функционирования системы</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ПК-5.3 Разрабатывает технико-экономические обоснования создания программных комплексов</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ПК-5.4 Производит декомпозицию системы на подфункции, проводит описание каждой функции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ПК-5.5 Формулирует требования к результатам аналитических работ в рамках системы</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ПК-5.6 Подбирает средства проектирования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ПК-5.7 Строит логические модели систем среднего и крупного масштаба сложности</w:t>
            </w:r>
          </w:p>
        </w:tc>
        <w:tc>
          <w:tcPr>
            <w:tcW w:w="2653" w:type="dxa"/>
          </w:tcPr>
          <w:p>
            <w:r>
              <w:t>Разрабатывает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В(ПК-5)</w:t>
            </w:r>
          </w:p>
        </w:tc>
        <w:tc>
          <w:tcPr>
            <w:vMerge w:val="continue"/>
            <w:tcW w:w="2835" w:type="dxa"/>
          </w:tcPr>
          <w:p>
            <w:pPr>
              <w:jc w:val="center"/>
            </w:pPr>
            <w:r>
              <w:t>Субъекты научной деятельности в системе высшего и послевузовского профессионального образования</w:t>
            </w:r>
          </w:p>
        </w:tc>
        <w:tc>
          <w:tcPr>
            <w:tcW w:w="2835" w:type="dxa"/>
          </w:tcPr>
          <w:p>
            <w:r>
              <w:t>ПК-5.8 Описывает порядок работ по созданию и сдаче системы, построенной по техническому заданию</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З(ПК-8)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которая будет продемонстрирована членам Государственной экзаменационой комиссии во время защиты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обрабатывает полученные результаты, анализирует и осмысливает их с учетом имеющихся научных исследований</w:t>
            </w:r>
          </w:p>
        </w:tc>
        <w:tc>
          <w:tcPr>
            <w:tcW w:w="1251" w:type="dxa"/>
          </w:tcPr>
          <w:p>
            <w:r>
              <w:t>Доклад, сообщение</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и представить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З(ПК-8)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и представляет на сайт http://vtik.net доклад на конференцию "Информационные технологии. Проблемы и решения" (IT-days) по материалам своей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restart"/>
            <w:tcW w:w="1701" w:type="dxa"/>
          </w:tcPr>
          <w:p>
            <w:pPr>
              <w:jc w:val="center"/>
            </w:pPr>
            <w:r>
              <w:t>У(ПК-7)</w:t>
            </w:r>
          </w:p>
        </w:tc>
        <w:tc>
          <w:tcPr>
            <w:vMerge w:val="restart"/>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Находит не менее 10 авторефератов кандидатских диссертаций по выбранному паспорту специальности, наиболее близкие к тематике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своей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Этапы научного исследования</w:t>
            </w:r>
          </w:p>
        </w:tc>
        <w:tc>
          <w:tcPr>
            <w:vMerge w:val="continue"/>
            <w:tcW w:w="1701" w:type="dxa"/>
          </w:tcPr>
          <w:p>
            <w:pPr>
              <w:jc w:val="center"/>
            </w:pPr>
            <w:r>
              <w:t>У(ПК-7)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Готовит устный доклад по материалам своей ВКР</w:t>
            </w:r>
          </w:p>
        </w:tc>
        <w:tc>
          <w:tcPr>
            <w:tcW w:w="1251" w:type="dxa"/>
          </w:tcPr>
          <w:p>
            <w:r>
              <w:t>Доклад, сообщение</w:t>
              <w:br/>
              <w:t>Письменный и устный опрос</w:t>
              <w:br/>
              <w:t/>
            </w:r>
          </w:p>
        </w:tc>
      </w:tr>
      <w:tr>
        <w:trPr>
          <w:trHeight w:val="417"/>
        </w:trPr>
        <w:tc>
          <w:tcPr>
            <w:vMerge w:val="restart"/>
            <w:tcW w:w="817" w:type="dxa"/>
          </w:tcPr>
          <w:p>
            <w:pPr>
              <w:numPr>
                <w:ilvl w:val="0"/>
                <w:numId w:val="6"/>
              </w:numPr>
              <w:jc w:val="center"/>
            </w:pPr>
            <w:r>
              <w:t/>
            </w:r>
          </w:p>
        </w:tc>
        <w:tc>
          <w:tcPr>
            <w:vMerge w:val="restart"/>
            <w:tcW w:w="2977" w:type="dxa"/>
          </w:tcPr>
          <w:p>
            <w:r>
              <w:t>Методология научных исследований</w:t>
            </w:r>
          </w:p>
        </w:tc>
        <w:tc>
          <w:tcPr>
            <w:vMerge w:val="restart"/>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Составляет литературный обзор публикаций своего научного руководителя</w:t>
            </w:r>
          </w:p>
        </w:tc>
        <w:tc>
          <w:tcPr>
            <w:tcW w:w="1251" w:type="dxa"/>
          </w:tcPr>
          <w:p>
            <w:r>
              <w:t>Письменный и устный опрос</w:t>
              <w:br/>
              <w:t>Реферат</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Сформулировать тему, цель, основные задачи и выводы по вашей выпускной квалификационной работе</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Готовит Техническое задание и Акт внедрения по материалам своей выпускной квалификационной работы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В(ПК-7)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ПК-7.1 Выполняет сбор информации по предметной области исследования</w:t>
            </w:r>
          </w:p>
        </w:tc>
        <w:tc>
          <w:tcPr>
            <w:tcW w:w="2653" w:type="dxa"/>
          </w:tcPr>
          <w:p>
            <w:r>
              <w:t>Скачать не менее 10 авторефератов кандидатских диссертаций по выбранному паспорту специальности и распечатать один из них, наиболее близкий к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ПК-7.2 Применяет статистические методы систематизации и классификации информации, относящейся к предметной области</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ПК-7.3 Определяет цель и задачи исследования</w:t>
            </w:r>
          </w:p>
        </w:tc>
        <w:tc>
          <w:tcPr>
            <w:tcW w:w="2653" w:type="dxa"/>
          </w:tcPr>
          <w:p>
            <w:r>
              <w:t>Формулирует тему, цель, основные задачи и выводы по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ПК-7.4 Применяет нормативную документацию, относящуюся к изучаемой теме</w:t>
            </w:r>
          </w:p>
        </w:tc>
        <w:tc>
          <w:tcPr>
            <w:tcW w:w="2653" w:type="dxa"/>
          </w:tcPr>
          <w:p>
            <w:r>
              <w:t>Составляет перечень ключевых слов по тематике ВКР и выбирает паспорт специальности, наиболее близкий тематике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ПК-7.5 Применяет методы анализа научно-технической информации</w:t>
            </w:r>
          </w:p>
        </w:tc>
        <w:tc>
          <w:tcPr>
            <w:tcW w:w="2653" w:type="dxa"/>
          </w:tcPr>
          <w:p>
            <w:r>
              <w:t>Готовит литературный обзор по материалам своей выпускной квалификационной работы</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ПК-7.6 Формирует рекомендации по внедрению результатов исследований и разработок</w:t>
            </w:r>
          </w:p>
        </w:tc>
        <w:tc>
          <w:tcPr>
            <w:tcW w:w="2653" w:type="dxa"/>
          </w:tcPr>
          <w:p>
            <w:r>
              <w:t>Готовит Техническое задание и Акт внедрения по материалам своей выпускной квалификационной работы</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З(ПК-7)</w:t>
            </w:r>
          </w:p>
        </w:tc>
        <w:tc>
          <w:tcPr>
            <w:vMerge w:val="continue"/>
            <w:tcW w:w="2835" w:type="dxa"/>
          </w:tcPr>
          <w:p>
            <w:pPr>
              <w:jc w:val="center"/>
            </w:pPr>
            <w:r>
              <w:t>Порядок подготовки научных и научно-педагогических кадров в России </w:t>
            </w:r>
          </w:p>
        </w:tc>
        <w:tc>
          <w:tcPr>
            <w:tcW w:w="2835" w:type="dxa"/>
          </w:tcPr>
          <w:p>
            <w:r>
              <w:t>ПК-7.7 Делает выводы по результатам произведённых исследований и разработок</w:t>
            </w:r>
          </w:p>
        </w:tc>
        <w:tc>
          <w:tcPr>
            <w:tcW w:w="2653" w:type="dxa"/>
          </w:tcPr>
          <w:p>
            <w:r>
              <w:t>Формулирует тему, цель, основные задачи и выводы по вашей выпускной квалификационной работе</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restart"/>
            <w:tcW w:w="1701" w:type="dxa"/>
          </w:tcPr>
          <w:p>
            <w:pPr>
              <w:jc w:val="center"/>
            </w:pPr>
            <w:r>
              <w:t>У(ПК-8)</w:t>
            </w:r>
          </w:p>
        </w:tc>
        <w:tc>
          <w:tcPr>
            <w:vMerge w:val="restart"/>
            <w:tcW w:w="2835" w:type="dxa"/>
          </w:tcPr>
          <w:p>
            <w:pPr>
              <w:jc w:val="center"/>
            </w:pPr>
            <w:r>
              <w:t>Методы оформления результатов научной работы</w:t>
            </w:r>
          </w:p>
        </w:tc>
        <w:tc>
          <w:tcPr>
            <w:tcW w:w="2835" w:type="dxa"/>
          </w:tcPr>
          <w:p>
            <w:r>
              <w:t>ПК-8.1 Применяет программные средства для оформления результатов выполненной работы</w:t>
            </w:r>
          </w:p>
        </w:tc>
        <w:tc>
          <w:tcPr>
            <w:tcW w:w="2653" w:type="dxa"/>
          </w:tcPr>
          <w:p>
            <w:r>
              <w:t>Строит структурно-функциональную модель выпускной квалификационной работы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ПК-8.2 Составляет проекты календарных планов работ</w:t>
            </w:r>
          </w:p>
        </w:tc>
        <w:tc>
          <w:tcPr>
            <w:tcW w:w="2653" w:type="dxa"/>
          </w:tcPr>
          <w:p>
            <w:r>
              <w:t>Выбирает тему магистерской диссертации и научного руководителя, знакомится со списком научных трудов научного руководителя и сформулировать тему магистерской диссертации. </w:t>
            </w:r>
          </w:p>
        </w:tc>
        <w:tc>
          <w:tcPr>
            <w:tcW w:w="1251" w:type="dxa"/>
          </w:tcPr>
          <w:p>
            <w: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ПК-8.3 Формирует программу представления результатов отдельных элементов научно-исследовательских и опытно-конструкторских работ</w:t>
            </w:r>
          </w:p>
        </w:tc>
        <w:tc>
          <w:tcPr>
            <w:tcW w:w="2653" w:type="dxa"/>
          </w:tcPr>
          <w:p>
            <w:r>
              <w:t>Готовит презентацию по материалам своей ВКР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ПК-8.4 Оформляет результаты выполненных работ в виде отчётов, презентаций, видеороликов</w:t>
            </w:r>
          </w:p>
        </w:tc>
        <w:tc>
          <w:tcPr>
            <w:tcW w:w="2653" w:type="dxa"/>
          </w:tcPr>
          <w:p>
            <w:r>
              <w:t>Готовит презентацию, которая будет продемонстрирована членам Государственной экзаменационной комиссии во время защиты своей собственной ВКР бакалавра </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ПК-8.5 Публикует промежуточные результаты исследования в виде тезисов докладов на научно-практических конференциях</w:t>
            </w:r>
          </w:p>
        </w:tc>
        <w:tc>
          <w:tcPr>
            <w:tcW w:w="2653" w:type="dxa"/>
          </w:tcPr>
          <w:p>
            <w:r>
              <w:t>Готовит доклад на конференцию "Информационные технологии. Проблемы и решения" (IT-days) по материалам  выпускной квалификационной работы бакалавра</w:t>
            </w:r>
          </w:p>
        </w:tc>
        <w:tc>
          <w:tcPr>
            <w:tcW w:w="1251" w:type="dxa"/>
          </w:tcPr>
          <w:p>
            <w:r>
              <w:t>Лабораторная работа</w:t>
              <w:br/>
              <w:t>Письменный и устный опрос</w:t>
              <w:br/>
              <w:t/>
            </w:r>
          </w:p>
        </w:tc>
      </w:tr>
      <w:tr>
        <w:trPr>
          <w:trHeight w:val="417"/>
        </w:trPr>
        <w:tc>
          <w:tcPr>
            <w:vMerge w:val="continue"/>
            <w:tcW w:w="817" w:type="dxa"/>
          </w:tcPr>
          <w:p>
            <w:pPr>
              <w:numPr>
                <w:ilvl w:val="0"/>
                <w:numId w:val="6"/>
              </w:numPr>
              <w:jc w:val="center"/>
            </w:pPr>
            <w:r>
              <w:t/>
            </w:r>
          </w:p>
        </w:tc>
        <w:tc>
          <w:tcPr>
            <w:vMerge w:val="continue"/>
            <w:tcW w:w="2977" w:type="dxa"/>
          </w:tcPr>
          <w:p>
            <w:r>
              <w:t>Методология научных исследований</w:t>
            </w:r>
          </w:p>
        </w:tc>
        <w:tc>
          <w:tcPr>
            <w:vMerge w:val="continue"/>
            <w:tcW w:w="1701" w:type="dxa"/>
          </w:tcPr>
          <w:p>
            <w:pPr>
              <w:jc w:val="center"/>
            </w:pPr>
            <w:r>
              <w:t>У(ПК-8)</w:t>
            </w:r>
          </w:p>
        </w:tc>
        <w:tc>
          <w:tcPr>
            <w:vMerge w:val="continue"/>
            <w:tcW w:w="2835" w:type="dxa"/>
          </w:tcPr>
          <w:p>
            <w:pPr>
              <w:jc w:val="center"/>
            </w:pPr>
            <w:r>
              <w:t>Методы оформления результатов научной работы</w:t>
            </w:r>
          </w:p>
        </w:tc>
        <w:tc>
          <w:tcPr>
            <w:tcW w:w="2835" w:type="dxa"/>
          </w:tcPr>
          <w:p>
            <w:r>
              <w:t>ПК-8.6 Готовит к публикации результаты завершённых работ в виде научных статей</w:t>
            </w:r>
          </w:p>
        </w:tc>
        <w:tc>
          <w:tcPr>
            <w:tcW w:w="2653" w:type="dxa"/>
          </w:tcPr>
          <w:p>
            <w:r>
              <w:t>Готовит автореферат выпускной квалификационной работы бакалавра</w:t>
            </w:r>
          </w:p>
        </w:tc>
        <w:tc>
          <w:tcPr>
            <w:tcW w:w="1251" w:type="dxa"/>
          </w:tcPr>
          <w:p>
            <w:r>
              <w:t>Лабораторная работа</w:t>
              <w:br/>
              <w:t>Письменный и устный опрос</w:t>
              <w:br/>
              <w:t/>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 </w:t>
            </w:r>
          </w:p>
        </w:tc>
        <w:tc>
          <w:tcPr>
            <w:tcW w:w="0" w:type="auto"/>
            <w:vAlign w:val="center"/>
          </w:tcPr>
          <w:p>
            <w:pPr>
              <w:contextualSpacing/>
              <w:jc w:val="center"/>
            </w:pPr>
            <w:r>
              <w:t>Представление оценочного средства в фонде </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  </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    </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Техническое задание и Акт внедрения </w:t>
        <w:br/>
        <w:t>2 Рецензия на ВКР, статью, диссертацию </w:t>
        <w:br/>
        <w:t>3 Научная новизна и практическая значимость ВКР</w:t>
        <w:br/>
        <w:t>4 Отзыв научного руководителя  </w:t>
        <w:br/>
        <w:t>5 Процедура "Антиплагиат"  </w:t>
        <w:br/>
        <w:t>6 Нормоконтроль  </w:t>
        <w:br/>
        <w:t/>
        <w:br/>
        <w:t>Правила подготовки и оформления реферата:</w:t>
        <w:br/>
        <w:t>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1,5 интервала. Высота букв и цифр должна быть не менее 1,8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t/>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t/>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название доклада;</w:t>
        <w:br/>
        <w:t>    сообщение основной идеи;</w:t>
        <w:br/>
        <w:t>    современную оценку предмета изложения;</w:t>
        <w:br/>
        <w:t>    краткое перечисление рассматриваемых вопросов;</w:t>
        <w:br/>
        <w:t>    интересную для слушателей форму изложения;</w:t>
        <w:br/>
        <w:t>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t/>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br/>
        <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ЛР №1 Подготовка литературного обзора </w:t>
        <w:br/>
        <w:t>ЛР №2 Структурно-функциональное моделирование </w:t>
        <w:br/>
        <w:t>ЛР №3 Подготовка презентации</w:t>
        <w:br/>
        <w:t>ЛР №4 Подготовка к устному докладу </w:t>
        <w:br/>
        <w:t>ЛР №5 Подготовка автореферата по ВКР  </w:t>
        <w:br/>
        <w:t>ЛР №6 Доклад на ITdays по материалам ВКР </w:t>
        <w:br/>
        <w:t>ЛР №7 Выбор отечественного научного журнала</w:t>
        <w:br/>
        <w:t>ЛР №8 Подготовка ВАКовской статьи </w:t>
        <w:br/>
        <w:t/>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 с опозданием.</w:t>
        <w:br/>
        <w:t>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Требования к оформлению отчета </w:t>
        <w:br/>
        <w:t>1.	На титульном листе в обязательном порядке должны быть указаны: группа, ФИО студента, тема ЛР, номер варианта </w:t>
        <w:br/>
        <w:t>2.	Отчет должен быть оформлен на листах бумаги формата А4 </w:t>
        <w:br/>
        <w:t>3.	Отчеты могут быть написаны от руки, но лучше, если они будут набраны в текстовом процессоре MS Word </w:t>
        <w:br/>
        <w:t>4.	Отчет должен быть подписан студентом (с указанием даты), выполнившим его. </w:t>
        <w:br/>
        <w:t>5.	Отчет должен заканчиваться выводом, в котором кратко формулируется основной результат работы.</w:t>
        <w:br/>
        <w:t>6.	Отчеты по лабораторным работам, не удовлетворяющие указанным выше требованиям, не принимаются к рассмотрению.</w:t>
        <w:br/>
        <w:t/>
        <w:b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br/>
        <w:t/>
        <w:br/>
        <w:t/>
        <w:br/>
        <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Выбор паспорта специальности и ключевых слов </w:t>
        <w:br/>
        <w:t>2 Литературный обзор публикаций научного руководителя </w:t>
        <w:br/>
        <w:t>3 Оформление результатов научных исследований  </w:t>
        <w:br/>
        <w:t>4 Формулировка цели, основных задач и выводов </w:t>
        <w:br/>
        <w:t>5 Поиск автореферата кандидатской диссертации </w:t>
        <w:br/>
        <w:t>6 Выбор Диссертационного совета </w:t>
        <w:br/>
        <w:t/>
        <w:br/>
        <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 </w:t>
      </w:r>
    </w:p>
    <w:p>
      <w:pPr>
        <w:spacing w:before="120"/>
        <w:jc w:val="center"/>
        <w:rPr>
          <w:b/>
          <w:sz w:val="28"/>
          <w:szCs w:val="28"/>
        </w:rPr>
      </w:pPr>
      <w:r>
        <w:rPr>
          <w:b/>
          <w:sz w:val="28"/>
          <w:szCs w:val="28"/>
        </w:rPr>
        <w:t>(38014)Нечёткая логика и нечёткое управление</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 </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 </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 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-ПК-3.1 Составляет руководства пользователя программным продуктом</w:t>
              <w:br/>
              <w:t>  -ПК-3.2 Согласовывает регламенты разработки технической документации по использованию программного средства</w:t>
              <w:br/>
              <w:t>  -ПК-3.3 Готовит описания методик разработки компонентов программных комплексов, используемых на предприятии</w:t>
              <w:br/>
              <w:t>  -ПК-3.4 Готовит описания методик применения программных комплексов, используемых на предприятии</w:t>
              <w:br/>
              <w:t>  -ПК-3.5 Проводит консультирование работников по использованию программно-методических комплексов предприятия</w:t>
              <w:br/>
              <w:t/>
            </w:r>
          </w:p>
          <w:p>
            <w:pPr>
              <w:rPr>
                <w:rFonts w:eastAsia="Calibri"/>
                <w:sz w:val="22"/>
                <w:szCs w:val="22"/>
              </w:rPr>
            </w:pPr>
            <w:r>
              <w:rPr>
                <w:b/>
                <w:bCs/>
              </w:rPr>
              <w:t/>
            </w:r>
            <w:r>
              <w:rPr>
                <w:bCs/>
              </w:rPr>
              <w:t> 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-ПК-5.1 Использует теоретические методики целеполагания для программных систем</w:t>
              <w:br/>
              <w:t>  -ПК-5.2 Оформляет технические задания на разработку программных средств с описанием функционирования системы</w:t>
              <w:br/>
              <w:t>  -ПК-5.3 Разрабатывает технико-экономические обоснования создания программных комплексов</w:t>
              <w:br/>
              <w:t>  -ПК-5.4 Производит декомпозицию системы на подфункции, проводит описание каждой функции</w:t>
              <w:br/>
              <w:t>  -ПК-5.5 Формулирует требования к результатам аналитических работ в рамках системы</w:t>
              <w:br/>
              <w:t>  -ПК-5.6 Подбирает средства проектирования систем среднего и крупного масштаба сложности</w:t>
              <w:br/>
              <w:t>  -ПК-5.7 Строит логические модели систем среднего и крупного масштаба сложности</w:t>
              <w:br/>
              <w:t>  -ПК-5.8 Описывает порядок работ по созданию и сдаче системы, построенной по техническому заданию</w:t>
              <w:br/>
              <w:t/>
            </w:r>
          </w:p>
          <w:p>
            <w:pPr>
              <w:rPr>
                <w:rFonts w:eastAsia="Calibri"/>
                <w:sz w:val="22"/>
                <w:szCs w:val="22"/>
              </w:rPr>
            </w:pPr>
            <w:r>
              <w:rPr>
                <w:b/>
                <w:bCs/>
              </w:rPr>
              <w:t/>
            </w:r>
            <w:r>
              <w:rPr>
                <w:bCs/>
              </w:rPr>
              <w:t> ПК-7 Способен производить сбор, систематизацию, классификацию и анализ информации, относящейся к изучаемой предметной области:</w:t>
              <w:br/>
              <w:t>  -ПК-7.1 Выполняет сбор информации по предметной области исследования</w:t>
              <w:br/>
              <w:t>  -ПК-7.2 Применяет статистические методы систематизации и классификации информации, относящейся к предметной области</w:t>
              <w:br/>
              <w:t>  -ПК-7.3 Определяет цель и задачи исследования</w:t>
              <w:br/>
              <w:t>  -ПК-7.4 Применяет нормативную документацию, относящуюся к изучаемой теме</w:t>
              <w:br/>
              <w:t>  -ПК-7.5 Применяет методы анализа научно-технической информации</w:t>
              <w:br/>
              <w:t>  -ПК-7.6 Формирует рекомендации по внедрению результатов исследований и разработок</w:t>
              <w:br/>
              <w:t>  -ПК-7.7 Делает выводы по результатам произведённых исследований и разработок</w:t>
              <w:br/>
              <w:t/>
            </w:r>
          </w:p>
          <w:p>
            <w:pPr>
              <w:rPr>
                <w:rFonts w:eastAsia="Calibri"/>
                <w:sz w:val="22"/>
                <w:szCs w:val="22"/>
              </w:rPr>
            </w:pPr>
            <w:r>
              <w:rPr>
                <w:b/>
                <w:bCs/>
              </w:rPr>
              <w:t/>
            </w:r>
            <w:r>
              <w:rPr>
                <w:bCs/>
              </w:rPr>
              <w:t> 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-ПК-8.1 Применяет программные средства для оформления результатов выполненной работы</w:t>
              <w:br/>
              <w:t>  -ПК-8.2 Составляет проекты календарных планов работ</w:t>
              <w:br/>
              <w:t>  -ПК-8.3 Формирует программу представления результатов отдельных элементов научно-исследовательских и опытно-конструкторских работ</w:t>
              <w:br/>
              <w:t>  -ПК-8.4 Оформляет результаты выполненных работ в виде отчётов, презентаций, видеороликов</w:t>
              <w:br/>
              <w:t>  -ПК-8.5 Публикует промежуточные результаты исследования в виде тезисов докладов на научно-практических конференциях</w:t>
              <w:br/>
              <w:t>  -ПК-8.6 Готовит к публикации результаты завершённых работ в виде научных статей</w:t>
              <w:br/>
              <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 </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 </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(144час)</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диф.зачет; </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 .. </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