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(38020)Интеллектуальные системы управления</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проектировать интеллектуальные системы управления техническими объектами</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применять нейросетевые регуляторы и нечёткие системы для адаптивного управления</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разрабатывать системы управления с обучением с подкреплением</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анализировать устойчивость и качество интеллектуальных систем управления</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Проектирует интеллектуальные системы управления</w:t>
            </w:r>
          </w:p>
        </w:tc>
        <w:tc>
          <w:tcPr>
            <w:tcW w:w="1343" w:type="dxa"/>
            <w:vAlign w:val="center"/>
          </w:tcPr>
          <w:p>
            <w:pPr>
              <w:jc w:val="center"/>
              <w:rPr>
                <w:bCs/>
              </w:rPr>
            </w:pPr>
            <w:r>
              <w:rPr>
                <w:bCs/>
              </w:rPr>
              <w:t>З(УК-1)</w:t>
            </w:r>
          </w:p>
        </w:tc>
        <w:tc>
          <w:tcPr>
            <w:tcW w:w="2591" w:type="dxa"/>
            <w:vAlign w:val="center"/>
          </w:tcPr>
          <w:p>
            <w:pPr>
              <w:jc w:val="both"/>
            </w:pPr>
            <w:r>
              <w:rPr>
                <w:bCs/>
              </w:rPr>
              <w:t>Знать: классификацию интеллектуальных систем управления и принципы адаптации</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Проектирует интеллектуальные системы управления</w:t>
            </w:r>
          </w:p>
        </w:tc>
        <w:tc>
          <w:tcPr>
            <w:tcW w:w="1343" w:type="dxa"/>
            <w:vAlign w:val="center"/>
          </w:tcPr>
          <w:p>
            <w:pPr>
              <w:jc w:val="center"/>
              <w:rPr>
                <w:bCs/>
              </w:rPr>
            </w:pPr>
            <w:r>
              <w:rPr>
                <w:bCs/>
              </w:rPr>
              <w:t>У(УК-1)</w:t>
            </w:r>
          </w:p>
        </w:tc>
        <w:tc>
          <w:tcPr>
            <w:tcW w:w="2591" w:type="dxa"/>
            <w:vAlign w:val="center"/>
          </w:tcPr>
          <w:p>
            <w:pPr>
              <w:jc w:val="both"/>
            </w:pPr>
            <w:r>
              <w:rPr>
                <w:bCs/>
              </w:rPr>
              <w:t>Уметь: проектировать нейросетевые идентификаторы и регуляторы для объектов управления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Проектирует интеллектуальные системы управления</w:t>
            </w:r>
          </w:p>
        </w:tc>
        <w:tc>
          <w:tcPr>
            <w:tcW w:w="1343" w:type="dxa"/>
            <w:vAlign w:val="center"/>
          </w:tcPr>
          <w:p>
            <w:pPr>
              <w:jc w:val="center"/>
              <w:rPr>
                <w:bCs/>
              </w:rPr>
            </w:pPr>
            <w:r>
              <w:rPr>
                <w:bCs/>
              </w:rPr>
              <w:t>В(УК-1)</w:t>
            </w:r>
          </w:p>
        </w:tc>
        <w:tc>
          <w:tcPr>
            <w:tcW w:w="2591" w:type="dxa"/>
            <w:vAlign w:val="center"/>
          </w:tcPr>
          <w:p>
            <w:pPr>
              <w:jc w:val="both"/>
            </w:pPr>
            <w:r>
              <w:rPr>
                <w:bCs/>
              </w:rPr>
              <w:t>Владеть: методами анализа устойчивости интеллектуальных систем управления</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нейросетевые методы управления</w:t>
            </w:r>
          </w:p>
        </w:tc>
        <w:tc>
          <w:tcPr>
            <w:tcW w:w="1343" w:type="dxa"/>
            <w:vAlign w:val="center"/>
          </w:tcPr>
          <w:p>
            <w:pPr>
              <w:jc w:val="center"/>
              <w:rPr>
                <w:bCs/>
              </w:rPr>
            </w:pPr>
            <w:r>
              <w:rPr>
                <w:bCs/>
              </w:rPr>
              <w:t>З(ОПК-2)</w:t>
            </w:r>
          </w:p>
        </w:tc>
        <w:tc>
          <w:tcPr>
            <w:tcW w:w="2591" w:type="dxa"/>
            <w:vAlign w:val="center"/>
          </w:tcPr>
          <w:p>
            <w:pPr>
              <w:jc w:val="both"/>
            </w:pPr>
            <w:r>
              <w:rPr>
                <w:bCs/>
              </w:rPr>
              <w:t>Знать: нейросетевые методы идентификации и управления: NARX, нейронный PID</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нейросетевые методы управления</w:t>
            </w:r>
          </w:p>
        </w:tc>
        <w:tc>
          <w:tcPr>
            <w:tcW w:w="1343" w:type="dxa"/>
            <w:vAlign w:val="center"/>
          </w:tcPr>
          <w:p>
            <w:pPr>
              <w:jc w:val="center"/>
              <w:rPr>
                <w:bCs/>
              </w:rPr>
            </w:pPr>
            <w:r>
              <w:rPr>
                <w:bCs/>
              </w:rPr>
              <w:t>У(ОПК-2)</w:t>
            </w:r>
          </w:p>
        </w:tc>
        <w:tc>
          <w:tcPr>
            <w:tcW w:w="2591" w:type="dxa"/>
            <w:vAlign w:val="center"/>
          </w:tcPr>
          <w:p>
            <w:pPr>
              <w:jc w:val="both"/>
            </w:pPr>
            <w:r>
              <w:rPr>
                <w:bCs/>
              </w:rPr>
              <w:t>Уметь: обучать нейронные регуляторы и настраивать их для нелинейных объектов</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нейросетевые методы управления</w:t>
            </w:r>
          </w:p>
        </w:tc>
        <w:tc>
          <w:tcPr>
            <w:tcW w:w="1343" w:type="dxa"/>
            <w:vAlign w:val="center"/>
          </w:tcPr>
          <w:p>
            <w:pPr>
              <w:jc w:val="center"/>
              <w:rPr>
                <w:bCs/>
              </w:rPr>
            </w:pPr>
            <w:r>
              <w:rPr>
                <w:bCs/>
              </w:rPr>
              <w:t>В(ОПК-2)</w:t>
            </w:r>
          </w:p>
        </w:tc>
        <w:tc>
          <w:tcPr>
            <w:tcW w:w="2591" w:type="dxa"/>
            <w:vAlign w:val="center"/>
          </w:tcPr>
          <w:p>
            <w:pPr>
              <w:jc w:val="both"/>
            </w:pPr>
            <w:r>
              <w:rPr>
                <w:bCs/>
              </w:rPr>
              <w:t>Владеть: инструментами MATLAB Neural Network Toolbox и Simulink для управления</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RL-системы управления</w:t>
            </w:r>
          </w:p>
        </w:tc>
        <w:tc>
          <w:tcPr>
            <w:tcW w:w="1343" w:type="dxa"/>
            <w:vAlign w:val="center"/>
          </w:tcPr>
          <w:p>
            <w:pPr>
              <w:jc w:val="center"/>
              <w:rPr>
                <w:bCs/>
              </w:rPr>
            </w:pPr>
            <w:r>
              <w:rPr>
                <w:bCs/>
              </w:rPr>
              <w:t>З(ОПК-4)</w:t>
            </w:r>
          </w:p>
        </w:tc>
        <w:tc>
          <w:tcPr>
            <w:tcW w:w="2591" w:type="dxa"/>
            <w:vAlign w:val="center"/>
          </w:tcPr>
          <w:p>
            <w:pPr>
              <w:jc w:val="both"/>
            </w:pPr>
            <w:r>
              <w:rPr>
                <w:bCs/>
              </w:rPr>
              <w:t>Знать: алгоритмы RL для управления: PPO, SAC, TD3 для непрерывных пространств</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RL-системы управления</w:t>
            </w:r>
          </w:p>
        </w:tc>
        <w:tc>
          <w:tcPr>
            <w:tcW w:w="1343" w:type="dxa"/>
            <w:vAlign w:val="center"/>
          </w:tcPr>
          <w:p>
            <w:pPr>
              <w:jc w:val="center"/>
              <w:rPr>
                <w:bCs/>
              </w:rPr>
            </w:pPr>
            <w:r>
              <w:rPr>
                <w:bCs/>
              </w:rPr>
              <w:t>У(ОПК-4)</w:t>
            </w:r>
          </w:p>
        </w:tc>
        <w:tc>
          <w:tcPr>
            <w:tcW w:w="2591" w:type="dxa"/>
            <w:vAlign w:val="center"/>
          </w:tcPr>
          <w:p>
            <w:pPr>
              <w:jc w:val="both"/>
            </w:pPr>
            <w:r>
              <w:rPr>
                <w:bCs/>
              </w:rPr>
              <w:t>Уметь: обучать Actor-Critic агентов управлению динамическими системами</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RL-системы управления</w:t>
            </w:r>
          </w:p>
        </w:tc>
        <w:tc>
          <w:tcPr>
            <w:tcW w:w="1343" w:type="dxa"/>
            <w:vAlign w:val="center"/>
          </w:tcPr>
          <w:p>
            <w:pPr>
              <w:jc w:val="center"/>
              <w:rPr>
                <w:bCs/>
              </w:rPr>
            </w:pPr>
            <w:r>
              <w:rPr>
                <w:bCs/>
              </w:rPr>
              <w:t>В(ОПК-4)</w:t>
            </w:r>
          </w:p>
        </w:tc>
        <w:tc>
          <w:tcPr>
            <w:tcW w:w="2591" w:type="dxa"/>
            <w:vAlign w:val="center"/>
          </w:tcPr>
          <w:p>
            <w:pPr>
              <w:jc w:val="both"/>
            </w:pPr>
            <w:r>
              <w:rPr>
                <w:bCs/>
              </w:rPr>
              <w:t>Владеть: средами OpenAI Gym и MuJoCo для разработки RL-систем управления</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Анализирует устойчивость ИСУ</w:t>
            </w:r>
          </w:p>
        </w:tc>
        <w:tc>
          <w:tcPr>
            <w:tcW w:w="1343" w:type="dxa"/>
            <w:vAlign w:val="center"/>
          </w:tcPr>
          <w:p>
            <w:pPr>
              <w:jc w:val="center"/>
              <w:rPr>
                <w:bCs/>
              </w:rPr>
            </w:pPr>
            <w:r>
              <w:rPr>
                <w:bCs/>
              </w:rPr>
              <w:t>З(ПК-1)</w:t>
            </w:r>
          </w:p>
        </w:tc>
        <w:tc>
          <w:tcPr>
            <w:tcW w:w="2591" w:type="dxa"/>
            <w:vAlign w:val="center"/>
          </w:tcPr>
          <w:p>
            <w:pPr>
              <w:jc w:val="both"/>
            </w:pPr>
            <w:r>
              <w:rPr>
                <w:bCs/>
              </w:rPr>
              <w:t>Знать: методы анализа устойчивости: критерий Ляпунова, LMI для нечётких систем</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Анализирует устойчивость ИСУ</w:t>
            </w:r>
          </w:p>
        </w:tc>
        <w:tc>
          <w:tcPr>
            <w:tcW w:w="1343" w:type="dxa"/>
            <w:vAlign w:val="center"/>
          </w:tcPr>
          <w:p>
            <w:pPr>
              <w:jc w:val="center"/>
              <w:rPr>
                <w:bCs/>
              </w:rPr>
            </w:pPr>
            <w:r>
              <w:rPr>
                <w:bCs/>
              </w:rPr>
              <w:t>У(ПК-1)</w:t>
            </w:r>
          </w:p>
        </w:tc>
        <w:tc>
          <w:tcPr>
            <w:tcW w:w="2591" w:type="dxa"/>
            <w:vAlign w:val="center"/>
          </w:tcPr>
          <w:p>
            <w:pPr>
              <w:jc w:val="both"/>
            </w:pPr>
            <w:r>
              <w:rPr>
                <w:bCs/>
              </w:rPr>
              <w:t>Уметь: исследовать робастность нечётких и нейросетевых регуляторов</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Анализирует устойчивость ИСУ</w:t>
            </w:r>
          </w:p>
        </w:tc>
        <w:tc>
          <w:tcPr>
            <w:tcW w:w="1343" w:type="dxa"/>
            <w:vAlign w:val="center"/>
          </w:tcPr>
          <w:p>
            <w:pPr>
              <w:jc w:val="center"/>
              <w:rPr>
                <w:bCs/>
              </w:rPr>
            </w:pPr>
            <w:r>
              <w:rPr>
                <w:bCs/>
              </w:rPr>
              <w:t>В(ПК-1)</w:t>
            </w:r>
          </w:p>
        </w:tc>
        <w:tc>
          <w:tcPr>
            <w:tcW w:w="2591" w:type="dxa"/>
            <w:vAlign w:val="center"/>
          </w:tcPr>
          <w:p>
            <w:pPr>
              <w:jc w:val="both"/>
            </w:pPr>
            <w:r>
              <w:rPr>
                <w:bCs/>
              </w:rPr>
              <w:t>Владеть: методами сравнительного анализа нечётких, нейросетевых и RL-регуляторов</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Основы интеллектуального управления и адаптации</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Нейросетевые методы в управлении</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Нечёткие системы управления и их синтез</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Управление с обучением с подкреплением</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1-Основы интеллектуального управления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1. Классификация интеллектуальных систем управления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1-Основы интеллектуального управления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2. Адаптивное управление: модельно-ориентированное и самонастраивающееся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2-Нейросетевое управление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3. Нейросетевые идентификаторы и предсказательные модели объектов</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2-Нейросетевое управление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4. Нейронный PID-регулятор: структура и алгоритмы обучения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3-Нечёткое управление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5. Синтез нечёткого регулятора: метод Ляпунова и LMI</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3-Нечёткое управление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6. Нейро-нечёткое управление: гибридные регуляторы ANFIS</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4-RL-управление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7. Actor-Critic алгоритмы для управления непрерывными системами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интеллектуального управления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Идентификация объекта управления нейронной сетью по данным эксперимента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2-Нейросетевое управление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Обучение нейронного ПИД-регулятора для управления тепловым объектом</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3-Нечёткое управление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Синтез нечёткого регулятора для маятника на тележке в Simulink</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3-Нечёткое управление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Адаптивный нейро-нечёткий регулятор на основе ANFIS для нелинейного объекта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4-RL-управление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Обучение RL-агента управлению маятником с непрерывным пространством действий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4-RL-управление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Сравнение нечёткого регулятора, нейросетевого и RL-управления по критериям качества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интеллектуального управления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устойчивости нейросетевых систем управления по критерию Ляпунова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2-Нейросетевое управление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Сравнение архитектур нейронных идентификаторов для нелинейных объектов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3-Нечёткое управление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базы нечётких правил регулятора методом генетического алгоритма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3-Нечёткое управление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Исследование робастности нечёткого регулятора к параметрическим возмущениям</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4-RL-управление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Применение PPO и SAC к задаче управления квадрокоптером</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4-RL-управление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Оценка сходимости RL-алгоритмов на задачах управления в MuJoCo</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(37895)(38020)Интеллектуальные системы управления</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Нарендра, К. Стабильные адаптивные системы / К. Нарендра, А. Аннасвами. — Москва : Наука, 1990. — 512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Пегат, А. Нечёткое моделирование и управление / А. Пегат. — Москва : БИНОМ, 2009. — 798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http://e.lanbook.com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Ким, Д. П. Теория автоматического управления / Д. П. Ким. — Москва : Физматлит, 2010. — 312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http://biblio-online.ru</w:t>
            </w:r>
          </w:p>
        </w:tc>
        <w:tc>
          <w:tcPr>
            <w:tcW w:w="0" w:type="auto"/>
            <w:shd w:val="clear" w:color="auto" w:fill="auto"/>
          </w:tcPr>
          <w:p>
            <w:pPr>
              <w:rPr>
                <w:bCs/>
                <w:sz w:val="20"/>
                <w:szCs w:val="20"/>
              </w:rPr>
            </w:pPr>
            <w:r>
              <w:rPr>
                <w:bCs/>
                <w:sz w:val="20"/>
                <w:szCs w:val="20"/>
              </w:rPr>
              <w:t>0.50</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(38020)Интеллектуальные системы управления</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(38020)Интеллектуальные системы управления</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(38020)Интеллектуальные системы управления</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