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УФИМСКИЙ ГОСУДАРСТВЕННЫЙ НЕФТЯНОЙ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ТЕХНИЧЕСКИЙ УНИВЕРСИТЕТ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Кафедра вычислительной техники и инженерной кибернетики (ВТИК)</w:t>
      </w:r>
    </w:p>
    <w:p>
      <w:pPr>
        <w:spacing w:before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ОТЧЁТ ПО ПРОГОНУ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RAG-СИСТЕМЫ ГЕНЕРАЦИИ РПД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Дисциплина: «Интеллектуальные системы» (38050)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Направление: 09.03.01 Информатика и вычислительная техника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Уровень: бакалавриат | Семестр: 7 | 4 з.е. (144 час)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Модель LLM: qwen/qwen-plus | Embedding: qwen/qwen3-embedding-4b (2560d)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Vectorstore: Qdrant | Reranker: bge-reranker-v2-m3 | RouterAI API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Уфа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Дата прогона: 16 апреля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1. Общая характеристика прогона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Прогон выполнен 16 апреля 2026 через RouterAI API (routerai.ru) с моделью эмбеддингов qwen/qwen3-embedding-4b (2560-мерные векторы) и LLM qwen/qwen-plus. Впервые использован reranker bge-reranker-v2-m3 для перера ранжирования чанков после первичного векторного поиска.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Корпус: 98 РПД (направления 09.03.01 и 09.04.01), 7418 блоков после prepare_texts, 6017 уникальных чанков после chunking, 6015 загружено в Qdrant (2 пропущено из-за ошибок embedding). Дополнительно: 61 книжный чанк из 2 учебников (Рассел, Флах). Третий учебник (Хайкин «Нейронные сети») не загружен: PDF сканированный, Tesseract не установлен.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Эталон для оценки: rpd_29.json («Интеллектуальные системы управления»), cosine similarity = 0.775. Сравнение выполнено в режиме docx-to-docx для максимальной точности.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1.1. Ключевые улучшения относительно предыдущего прогона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Reranker встроен и работает. </w:t>
      </w:r>
      <w:r>
        <w:rPr>
          <w:rFonts w:ascii="Arial" w:cs="Arial" w:eastAsia="Arial" w:hAnsi="Arial"/>
          <w:sz w:val="22"/>
          <w:szCs w:val="22"/>
        </w:rPr>
        <w:t xml:space="preserve">В логе генерации зафиксировано: rerank 30 чанков до 16 (top score: 0.871) для секции competencies. Модель bge-reranker-v2-m3 загружена и применяется ко всем секциям после первичного поиска.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разделён на подтипы. </w:t>
      </w:r>
      <w:r>
        <w:rPr>
          <w:rFonts w:ascii="Arial" w:cs="Arial" w:eastAsia="Arial" w:hAnsi="Arial"/>
          <w:sz w:val="22"/>
          <w:szCs w:val="22"/>
        </w:rPr>
        <w:t xml:space="preserve">В chunking.py теперь выделены lecture_content (347 чанков), practice_content (219), lab_content (206). Это устранило корневую причину предыдущего провала секции practice (BLEU 0.02).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Эталон сменился на rpd_29. </w:t>
      </w:r>
      <w:r>
        <w:rPr>
          <w:rFonts w:ascii="Arial" w:cs="Arial" w:eastAsia="Arial" w:hAnsi="Arial"/>
          <w:sz w:val="22"/>
          <w:szCs w:val="22"/>
        </w:rPr>
        <w:t xml:space="preserve">Similarity 0.775 вместо 0.531 (rpd_28). Эталон «Интеллектуальные системы управления» значительно ближе по тематике. Все метрики стали надёжнее.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section_competency_matrix добавлена. </w:t>
      </w:r>
      <w:r>
        <w:rPr>
          <w:rFonts w:ascii="Arial" w:cs="Arial" w:eastAsia="Arial" w:hAnsi="Arial"/>
          <w:sz w:val="22"/>
          <w:szCs w:val="22"/>
        </w:rPr>
        <w:t xml:space="preserve">Все 5 компетенций (УК-1, ОПК-1, ОПК-2, ПК-1, ПК-2) привязаны к каждому из 3 разделов. Проблема дефицита ОПК-1 и УК-1 в тестовых заданиях решена.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2. Метрики оценки сгенерированного РПД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2.1. Сводная таблица метрик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200"/>
        <w:gridCol w:w="1200"/>
        <w:gridCol w:w="1200"/>
        <w:gridCol w:w="1400"/>
        <w:gridCol w:w="14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0.1368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0.7778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Приемлемо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outcomes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0.1474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0.5942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0.4853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0.5942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0.1972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0.5333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0.3158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lab_works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0.0944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0.3667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0.1724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Слабо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0.1041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0.4074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0.1538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Слабо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bibliography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0.4531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0.5333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0.3288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0.5333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0.3565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0.6527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0.5141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0.5467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Приемлемо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2.2. Интерпретация метрик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Competencies (ROUGE-1 0.778) </w:t>
      </w:r>
      <w:r>
        <w:rPr>
          <w:rFonts w:ascii="Arial" w:cs="Arial" w:eastAsia="Arial" w:hAnsi="Arial"/>
          <w:sz w:val="22"/>
          <w:szCs w:val="22"/>
        </w:rPr>
        <w:t xml:space="preserve">- лучший результат по лексическому совпадению. Формулировки компетенций берутся из ФГОС (config.json fgos_competencies), поэтому совпадение с эталоном высокое. BLEU 0.137 - низкий, что объясняется различием конкретных дисциплин.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Bibliography (BLEU 0.453) </w:t>
      </w:r>
      <w:r>
        <w:rPr>
          <w:rFonts w:ascii="Arial" w:cs="Arial" w:eastAsia="Arial" w:hAnsi="Arial"/>
          <w:sz w:val="22"/>
          <w:szCs w:val="22"/>
        </w:rPr>
        <w:t xml:space="preserve">- лидер по BLEU. Данные поступают напрямую из config.json (main_bibliography), а не из RAG-генерации. Это подтверждает надёжность прямого конфигурирования.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(BLEU 0.104, ROUGE-1 0.407) </w:t>
      </w:r>
      <w:r>
        <w:rPr>
          <w:rFonts w:ascii="Arial" w:cs="Arial" w:eastAsia="Arial" w:hAnsi="Arial"/>
          <w:sz w:val="22"/>
          <w:szCs w:val="22"/>
        </w:rPr>
        <w:t xml:space="preserve">- значительный рост с BLEU 0.02 до 0.104 благодаря разделению content на подтипы. Однако это по-прежнему самая слабая секция. Причина: retrieval scores для practice в диапазоне 0.460-0.534, а reranker даёт top score всего 0.285.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Lab_works (BLEU 0.094, ROUGE-1 0.367) </w:t>
      </w:r>
      <w:r>
        <w:rPr>
          <w:rFonts w:ascii="Arial" w:cs="Arial" w:eastAsia="Arial" w:hAnsi="Arial"/>
          <w:sz w:val="22"/>
          <w:szCs w:val="22"/>
        </w:rPr>
        <w:t xml:space="preserve">- второе слабое место. Reranker top score всего 0.171. Чанки по лабораторным недостаточно информативны для целевой дисциплины «Интеллектуальные системы».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(BLEU 0.357, ROUGE-1 0.653) </w:t>
      </w:r>
      <w:r>
        <w:rPr>
          <w:rFonts w:ascii="Arial" w:cs="Arial" w:eastAsia="Arial" w:hAnsi="Arial"/>
          <w:sz w:val="22"/>
          <w:szCs w:val="22"/>
        </w:rPr>
        <w:t xml:space="preserve">- приемлемо. BLEU вырос с 0.353 до 0.357, ROUGE-1 слегка снизился с 0.657 до 0.653. Стабильный результат при более надёжном эталоне.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2.3. Качество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1200"/>
        <w:gridCol w:w="1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Scores (cosine)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Чанков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rerank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0.518 - 0.665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0.871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Хорошо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0.417 - 0.465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0.307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Слабо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lab_works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0.447 - 0.571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0.171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Слабо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0.460 - 0.534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0.285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Пограничное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Reranker bge-reranker-v2-m3 встроен и существенно улучшает качество для competencies (top score 0.871). Однако для content, lab_works и practice rerank scores остаются низкими (0.171-0.307), что указывает на недостаточную информативность чанков по этим типам в корпусе для дисциплины «Интеллектуальные системы».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3. Статистика pipeline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3.1. Прохождение этапов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Скрипт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Потери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converter.py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98 РПД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9396 блоков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ошибок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prepare_texts.py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98 РПД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7418 записей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дублей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chunking.py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7418 записей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6017 чанков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1451 дубль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load_qdrant_RouterAI.py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6017 чанков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6015 загружено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пропущено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99.97%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book_loader_routerai.py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книги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61 чанк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книга (OCR)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67%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98 РПД сконвертированы без ошибок. Потери на этапе chunking: 1451 дубль (24%), что ожидаемо для корпуса с повторяющимися шаблонными блоками (accessibility, assessment). 2 чанка пропущены при embedding из-за ошибок NoneType в RouterAI API.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3.2. Ошибки embedding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логе load_qdrant_RouterAI.py зафиксировано 3 всплеска ошибок NoneType (object is not subscriptable) на позициях ~2600, ~4300 и ~5000-5400. Суммарно ~30 попыток retry, из которых 2 привели к пропуску чанков. Причина: RouterAI API изредка возвращает пустой response.data. Рекомендация: добавить проверку if response.data and len(response.data) &gt; 0 перед обращением к response.data[0].embedding в функции embed_text().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3.3. Распределение чанков по типу секции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800"/>
        <w:gridCol w:w="1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секции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Чанков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1878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31.2%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Оценочные средства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Содержание дисциплины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Доступность (шаблон)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learning_outcomes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Результаты обучения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lecture_content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Содержание лекций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Новый тип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practice_content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3.6%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Содержание ПЗ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Новый тип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lab_content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3.4%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Содержание ЛР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Новый тип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Трудоёмкость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Прочее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Компетенции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Место дисциплины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Новые типы lecture_content, practice_content, lab_content (суммарно 772 чанка, 12.8%) появились после разделения типа content. Это ключевое улучшение, устранившее корневую причину провала practice в предыдущем прогоне.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3.4. Статистика токенов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Подсчёт: AutoTokenizer BAAI/bge-m3 (точный). min=40, max=403, avg=167 токенов. Средний чанк использует лишь 42% допустимого размера (400 токенов). Это следствие chunking по параграфам: большинство параграфов РПД короткие. Рекомендация: поднять порог группировки для content-чанков с tc&lt;90 до tc&lt;200.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4. Замечания по сгенерированному РПД (output_rpd.docx)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Ниже приведены замечания по содержанию и качеству сгенерированного документа output_rpd.docx, выявленные при анализе текста.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5200"/>
        <w:gridCol w:w="25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замечания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исправлять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Индикаторы достижения компетенций обрезаны на полуслове. Например: «УК-1.1 знать архитектуры... агент-ориенти в данной области». Аналогично по всем 15 строкам таблицы результатов обучения. Причина: fill_outcomes_table обрезает текст по лимиту символов или ширине ячейки шаблона.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fill_outcomes_table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Дублирование знаний/умений/навыков между компетенциями. З(УК-1) и З(ПК-1) содержат идентичный текст. Аналогично У(УК-1)=У(ПК-1), В(ОПК-1)=В(ПК-1). Каждая компетенция должна иметь уникальные результаты обучения.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PROMPTS["outcomes"]: добавить требование уникальности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Индикаторы ФОС представляют бессмысленные склейки глагола и формулировки компетенции. Например: «УК-1.1 Знает осуществлять поиск», «ОПК-2.2 Умеет понимать принципы работы». Должно быть содержательное описание индикатора.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fill_t21_fos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Названия тем в ФОС обрезаны по ширине ячейки. Например: «Методы машинного обучения и нейронные се» вместо полного названия раздела.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fill_t21_fos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Названия лабораторных работ и практических занятий избыточно детальные (30+ слов каждое). Нереалистично для реального РПД. Ожидаются краткие формулировки в 8-15 слов.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PROMPTS["lab_works"], PROMPTS["practice"]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 СРО указано «выполнение расчётно-графической работы» для всех трёх разделов. Для дисциплины «Интеллектуальные системы» типичнее: курсовой проект, индивидуальное задание, реферат.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fill_t11_sro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Библиографические описания (Т15) содержат «_» вместо «:» в выходных данных: «Москва _ Вильямс» вместо «Москва : Вильямс». Нарушение ГОСТ Р 7.0.5-2008.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config.json: main_bibliography, desc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Методические издания (Т17) содержат вымышленное ФИО составителя «Д. М. Зарипов» из fallback-шаблона. Необходимо указать реальных авторов или убрать персоналию.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fallback Т17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Раздел 1 «Место дисциплины» не заполнен: пустые поля предшествующих и последующих дисциплин.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config.json или ручное заполнение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Темы докладов (Приложение В) дословно копируют названия лекций. Рекомендуется переформулировать как исследовательские вопросы.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rpd_generate_RouterAI.py: gen_fos_appendix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4.1. Детализация критических замечаний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4.1.1. Обрезка индикаторов (замечание 1)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таблице результатов обучения (раздел 2) столбец «Индикаторы достижения компетенций» содержит обрезанный текст по всем 15 строкам. Примеры: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«УК-1.1 знать архитектуры интеллектуальных систем: агент-ориенти в данной области»</w:t>
      </w:r>
      <w:r>
        <w:rPr>
          <w:rFonts w:ascii="Arial" w:cs="Arial" w:eastAsia="Arial" w:hAnsi="Arial"/>
          <w:sz w:val="22"/>
          <w:szCs w:val="22"/>
        </w:rPr>
        <w:t xml:space="preserve"> - слово «ориентированную» обрезано.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«ОПК-2.2 уметь анализировать поведение многоагентных систем с исп при разработке»</w:t>
      </w:r>
      <w:r>
        <w:rPr>
          <w:rFonts w:ascii="Arial" w:cs="Arial" w:eastAsia="Arial" w:hAnsi="Arial"/>
          <w:sz w:val="22"/>
          <w:szCs w:val="22"/>
        </w:rPr>
        <w:t xml:space="preserve"> - «использованием» обрезано.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Вероятная причина: функция fill_outcomes_table в rpd_generate_RouterAI.py ограничивает длину текста индикатора. Необходимо увеличить лимит или убрать обрезку.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4.1.2. Дублирование ЗУВ (замечание 2)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Знания, умения и навыки для разных компетенций содержат идентичный текст. В частности: З(УК-1) = З(ПК-1) = «архитектуры интеллектуальных систем: агент-ориентированную, многоуровневую и гибридную». Аналогично совпадают У(УК-1) с У(ПК-1) и В(ОПК-1) с В(ПК-1). LLM генерирует одинаковые формулировки для разных компетенций. Необходимо добавить в промпт явное требование уникальности результатов обучения для каждой компетенции.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4.1.3. Индикаторы ФОС (замечание 3)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паспорте ФОС (Приложение Б) столбец «Индикатор достижения компетенций» содержит механическую склейку глагола («Знает», «Умеет», «Владеет») с началом формулировки компетенции. Примеры: «УК-1.1 Знает осуществлять поиск», «ОПК-2.3 Владеет понимать принципы работы». Это грамматически некорректно и бессмысленно по содержанию. Функция fill_t21_fos должна формировать содержательные индикаторы на основе результатов обучения, а не склеивать глагол с описанием компетенции.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5. Оставшиеся технические замечания (pipeline)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Из 16 рекомендаций аналитического отчёта от 15.04.2026 исправлено 8 замечаний (включая 2 новых: reranker и section_competency_matrix). Ниже - 6 оставшихся замечаний.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4600"/>
        <w:gridCol w:w="1100"/>
        <w:gridCol w:w="20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Установить Tesseract и переиндексировать книгу Хайкина. PDF сканированный, 0 чанков из ключевого учебника по нейросетям.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 install + перезапуск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Добавить 3-5 РПД по доменам-аутсайдерам. 6 из 14 доменов не покрыты (Сети, БД, СистПО, Управление проектами, Графика, Встроенные системы).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Поиск DOCX + pipeline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Консолидировать логику дедупликации. Размазана между prepare_texts.py и chunking.py с разными стратегиями хеширования.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Рефакторинг 2 файлов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Группировка content-чанков: avg 167 токенов при max 400 (42% использования). Порог tc&lt;90 не захватывает.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Изменить порог в chunking.py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Создать run_pipeline.py / Makefile для оркестрации 8 скриптов с проверкой зависимостей и timestamps.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Новый файл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Вынести промпты (~300 строк) из rpd_generate_RouterAI.py в prompts.json.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Не исправлено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Рефакторинг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5.1. Рекомендуемый порядок действий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Для максимального эффекта рекомендуется следующий порядок: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Установить Tesseract и переиндексировать Хайкина (критический, быстрый эффект: одна команда apt + перезапуск скрипта).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Добавить 3-5 РПД по доменам-аутсайдерам (высокий, средняя трудоёмкость: поиск DOCX + прогон pipeline).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Поднять порог группировки content-чанков до tc&lt;200 (средний, быстрый: одна строка в chunking.py).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Консолидировать дедупликацию (средний, средняя трудоёмкость: рефакторинг двух файлов).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Создать run_pipeline.py (низкий, средняя трудоёмкость: новый файл).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Вынести промпты в prompts.json (низкий, средняя трудоёмкость).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6. Ранее исправленные замечания (справочно)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Следующие 8 замечаний из отчёта от 15.04.2026 уже исправлены в коде: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5200"/>
        <w:gridCol w:w="25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исправлено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Разделить content на подтипы (lecture_content, lab_content, practice_content) в classify_section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converter.py, rpd_generate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Нормализовать reference_title: удаление табличного мусора из заголовков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converter.py, evaluate, prepare_texts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Поднять assessment лимит до 20, accessibility до 10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chunking.py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Валидация текста перед embedding в book_loader (проверка на пустоту и мин. длину)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book_loader_routerai.py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Добавить reranking (bge-reranker-v2-m3) после первичного поиска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rpd_generate_RouterAI.py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Добавить section_competency_matrix в config.json (все 5 компетенций на 3 раздела)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Маркировка type=textbook для книжных чанков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book_loader, load_qdrant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Unit-тесты для is_section_heading (27 тестов)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test_converter.py (новый)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7. Обзор содержания сгенерированного РПД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7.1. Структура документа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Сгенерированный РПД содержит все необходимые разделы: титульный лист, место дисциплины в структуре ОПОП, компетенции (5 шт.), результаты обучения (15 строк ЗУВ), структура дисциплины (Т3-Т6), содержание лекционного курса (6 лекций), перечень лабораторных работ (6 ЛР), перечень практических занятий (6 ПЗ), виды СРО, учебно-методическое обеспечение (Т15, Т17), аудитории и ПО (раздел 7), ФОС (Приложение Б) и аннотация.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7.2. Трудоёмкость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Распределение часов корректно: 18 лек + 36 ПЗ + 18 ЛР = 72 контакт + 72 СРО = 144 час = 4 з.е. Подготовка к экзамену: 9 час (согласно config.json). Все суммы сходятся. Валидация пройдена успешно.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7.3. Тематическое наполнение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Три раздела охватывают все ключевые области дисциплины согласно discipline_focus в config.json: (1) машинное обучение и нейронные сети, (2) нечёткая логика, эволюционные алгоритмы и экспертные системы, (3) интеллектуальные агенты и мультиагентные системы. Содержание лекций, ЛР и ПЗ соответствует заявленным разделам и демонстрирует предметную релевантность. Лекции включают: классификацию/регрессию/кластеризацию, архитектуры глубокого обучения, нечёткие системы вывода, экспертные системы, когнитивных агентов, мультиагентные системы.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7.4. Библиография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Основная литература (3 источника) соответствует config.json: Рассел «Искусственный интеллект» (2022), Флах «Машинное обучение» (2015), Хайкин «Нейронные сети» (2016). Методические издания сформированы из fallback-шаблона. Замечание: символ «_» в выходных данных и вымышленный составитель (см. раздел 4, замечания 7-8).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7.5. Похожие дисциплины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Поиск по корпусу выявил 5 наиболее похожих дисциплин: (1) Интеллектуальные системы управления (0.913), (2) Компьютерное моделирование интеллектуальных систем (0.895), (3) Методы оптимизации в интеллектуальных системах (0.849), (4) Экспертные системы и базы знаний (0.826), (5) Интеллектуальный анализ данных (0.806). Высокие similarity scores подтверждают наличие тематически близких РПД в корпусе.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8. Заключение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RAG-система генерации РПД демонстрирует стабильную работу после серии итеративных улучшений. Overall BLEU 0.357 и ROUGE-1 0.653 при сравнении с тематически близким эталоном (rpd_29, «Интеллектуальные системы управления», similarity 0.775) подтверждают приемлемое качество для большинства секций.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Ключевые достижения текущего прогона: встраивание reranker (bge-reranker-v2-m3), разделение content на подтипы (что подняло practice BLEU с 0.02 до 0.104), добавление section_competency_matrix и смена эталона на более адекватный.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Основные проблемы сосредоточены в двух областях: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Качество текста output_rpd.docx: </w:t>
      </w:r>
      <w:r>
        <w:rPr>
          <w:rFonts w:ascii="Arial" w:cs="Arial" w:eastAsia="Arial" w:hAnsi="Arial"/>
          <w:sz w:val="22"/>
          <w:szCs w:val="22"/>
        </w:rPr>
        <w:t xml:space="preserve">обрезка индикаторов, дублирование ЗУВ между компетенциями, некорректные индикаторы ФОС. Эти проблемы требуют правки промптов и функций заполнения шаблона в rpd_generate_RouterAI.py.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Инфраструктурные задачи: </w:t>
      </w:r>
      <w:r>
        <w:rPr>
          <w:rFonts w:ascii="Arial" w:cs="Arial" w:eastAsia="Arial" w:hAnsi="Arial"/>
          <w:sz w:val="22"/>
          <w:szCs w:val="22"/>
        </w:rPr>
        <w:t xml:space="preserve">установка Tesseract для OCR книги Хайкина, расширение корпуса РПД по недостающим доменам, оптимизация размера чанков.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 устранения 3 критических замечаний по тексту РПД (обрезка, дублирование ЗУВ, индикаторы ФОС) и установки Tesseract рекомендуется повторный прогон с оценкой метрик для измерения эффекта.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Отчёт по прогону RAG-системы РПД | 16.04.2026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2026-04-16T13:13:31.713Z</dcterms:created>
  <dcterms:modified xsi:type="dcterms:W3CDTF">2026-04-16T13:13:31.714Z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