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60"/>
        <w:gridCol w:w="7000"/>
      </w:tblGrid>
      <w:tr w:rsidR="007575E5" w:rsidRPr="007575E5" w:rsidTr="00ED41E2">
        <w:trPr>
          <w:trHeight w:val="555"/>
        </w:trPr>
        <w:tc>
          <w:tcPr>
            <w:tcW w:w="147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7575E5" w:rsidRPr="007575E5" w:rsidRDefault="007575E5" w:rsidP="00D51556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 w:rsidRPr="007575E5">
              <w:rPr>
                <w:b/>
                <w:bCs/>
              </w:rPr>
              <w:t>ПЕРЕЧЕНЬ РАСХОДОВ ЗАЕМЩИКА</w:t>
            </w:r>
            <w:r w:rsidRPr="007575E5">
              <w:t xml:space="preserve">, возникающих при приобретении </w:t>
            </w:r>
            <w:r>
              <w:rPr>
                <w:b/>
                <w:bCs/>
              </w:rPr>
              <w:t>ГОТОВОГО ЖИЛЬЯ</w:t>
            </w:r>
            <w:r w:rsidRPr="007575E5">
              <w:rPr>
                <w:b/>
                <w:bCs/>
              </w:rPr>
              <w:t xml:space="preserve"> с использованием ипотечного кредита</w:t>
            </w:r>
          </w:p>
        </w:tc>
      </w:tr>
      <w:tr w:rsidR="007575E5" w:rsidRPr="007575E5" w:rsidTr="00ED41E2">
        <w:trPr>
          <w:trHeight w:val="300"/>
        </w:trPr>
        <w:tc>
          <w:tcPr>
            <w:tcW w:w="7760" w:type="dxa"/>
            <w:shd w:val="clear" w:color="auto" w:fill="D9D9D9" w:themeFill="background1" w:themeFillShade="D9"/>
            <w:hideMark/>
          </w:tcPr>
          <w:p w:rsidR="007575E5" w:rsidRPr="007575E5" w:rsidRDefault="007575E5" w:rsidP="004152D4">
            <w:pPr>
              <w:jc w:val="center"/>
              <w:rPr>
                <w:b/>
                <w:bCs/>
              </w:rPr>
            </w:pPr>
            <w:r w:rsidRPr="007575E5">
              <w:rPr>
                <w:b/>
                <w:bCs/>
              </w:rPr>
              <w:t>ТАРИФЫ БАНКА</w:t>
            </w:r>
          </w:p>
        </w:tc>
        <w:tc>
          <w:tcPr>
            <w:tcW w:w="7000" w:type="dxa"/>
            <w:shd w:val="clear" w:color="auto" w:fill="D9D9D9" w:themeFill="background1" w:themeFillShade="D9"/>
            <w:hideMark/>
          </w:tcPr>
          <w:p w:rsidR="007575E5" w:rsidRPr="007575E5" w:rsidRDefault="007575E5" w:rsidP="004152D4">
            <w:pPr>
              <w:jc w:val="center"/>
              <w:rPr>
                <w:b/>
                <w:bCs/>
              </w:rPr>
            </w:pPr>
            <w:r w:rsidRPr="007575E5">
              <w:rPr>
                <w:b/>
                <w:bCs/>
              </w:rPr>
              <w:t>СУММА</w:t>
            </w:r>
          </w:p>
        </w:tc>
      </w:tr>
      <w:tr w:rsidR="007575E5" w:rsidRPr="007575E5" w:rsidTr="007575E5">
        <w:trPr>
          <w:trHeight w:val="600"/>
        </w:trPr>
        <w:tc>
          <w:tcPr>
            <w:tcW w:w="7760" w:type="dxa"/>
            <w:hideMark/>
          </w:tcPr>
          <w:p w:rsidR="007575E5" w:rsidRPr="007575E5" w:rsidRDefault="007575E5">
            <w:r w:rsidRPr="007575E5">
              <w:t>Комиссия за рассмотрение Заявления-анкеты на получение Кредита – приобретение квартир на вторичном рынке жилья</w:t>
            </w:r>
          </w:p>
        </w:tc>
        <w:tc>
          <w:tcPr>
            <w:tcW w:w="7000" w:type="dxa"/>
            <w:hideMark/>
          </w:tcPr>
          <w:p w:rsidR="007575E5" w:rsidRPr="007575E5" w:rsidRDefault="007575E5">
            <w:pPr>
              <w:rPr>
                <w:b/>
                <w:bCs/>
              </w:rPr>
            </w:pPr>
            <w:r w:rsidRPr="007575E5">
              <w:rPr>
                <w:b/>
                <w:bCs/>
              </w:rPr>
              <w:t>отсутствует</w:t>
            </w:r>
          </w:p>
        </w:tc>
      </w:tr>
      <w:tr w:rsidR="007575E5" w:rsidRPr="007575E5" w:rsidTr="007575E5">
        <w:trPr>
          <w:trHeight w:val="600"/>
        </w:trPr>
        <w:tc>
          <w:tcPr>
            <w:tcW w:w="7760" w:type="dxa"/>
            <w:hideMark/>
          </w:tcPr>
          <w:p w:rsidR="007575E5" w:rsidRPr="007575E5" w:rsidRDefault="007575E5">
            <w:r w:rsidRPr="007575E5">
              <w:t>Комиссия за повторное и последующее рассмотрение Заявления-анкеты на получение Кредита</w:t>
            </w:r>
          </w:p>
        </w:tc>
        <w:tc>
          <w:tcPr>
            <w:tcW w:w="7000" w:type="dxa"/>
            <w:hideMark/>
          </w:tcPr>
          <w:p w:rsidR="007575E5" w:rsidRPr="007575E5" w:rsidRDefault="007575E5">
            <w:pPr>
              <w:rPr>
                <w:b/>
                <w:bCs/>
              </w:rPr>
            </w:pPr>
            <w:r w:rsidRPr="007575E5">
              <w:rPr>
                <w:b/>
                <w:bCs/>
              </w:rPr>
              <w:t>отсутствует</w:t>
            </w:r>
          </w:p>
        </w:tc>
      </w:tr>
      <w:tr w:rsidR="007575E5" w:rsidRPr="007575E5" w:rsidTr="007575E5">
        <w:trPr>
          <w:trHeight w:val="450"/>
        </w:trPr>
        <w:tc>
          <w:tcPr>
            <w:tcW w:w="7760" w:type="dxa"/>
            <w:tcBorders>
              <w:bottom w:val="single" w:sz="4" w:space="0" w:color="auto"/>
            </w:tcBorders>
            <w:hideMark/>
          </w:tcPr>
          <w:p w:rsidR="007575E5" w:rsidRPr="007575E5" w:rsidRDefault="007575E5">
            <w:r w:rsidRPr="007575E5">
              <w:t>Комиссия за услуги по выдаче Кредита</w:t>
            </w:r>
          </w:p>
        </w:tc>
        <w:tc>
          <w:tcPr>
            <w:tcW w:w="7000" w:type="dxa"/>
            <w:tcBorders>
              <w:bottom w:val="single" w:sz="4" w:space="0" w:color="auto"/>
            </w:tcBorders>
            <w:hideMark/>
          </w:tcPr>
          <w:p w:rsidR="007575E5" w:rsidRPr="007575E5" w:rsidRDefault="007575E5">
            <w:pPr>
              <w:rPr>
                <w:b/>
                <w:bCs/>
              </w:rPr>
            </w:pPr>
            <w:r w:rsidRPr="007575E5">
              <w:rPr>
                <w:b/>
                <w:bCs/>
              </w:rPr>
              <w:t>отсутствует</w:t>
            </w:r>
          </w:p>
        </w:tc>
      </w:tr>
      <w:tr w:rsidR="007575E5" w:rsidRPr="007575E5" w:rsidTr="007575E5">
        <w:trPr>
          <w:trHeight w:val="300"/>
        </w:trPr>
        <w:tc>
          <w:tcPr>
            <w:tcW w:w="14760" w:type="dxa"/>
            <w:gridSpan w:val="2"/>
            <w:shd w:val="clear" w:color="auto" w:fill="D9D9D9" w:themeFill="background1" w:themeFillShade="D9"/>
            <w:hideMark/>
          </w:tcPr>
          <w:p w:rsidR="007575E5" w:rsidRPr="007575E5" w:rsidRDefault="007575E5" w:rsidP="007575E5">
            <w:pPr>
              <w:jc w:val="center"/>
              <w:rPr>
                <w:b/>
                <w:bCs/>
              </w:rPr>
            </w:pPr>
            <w:r w:rsidRPr="007575E5">
              <w:rPr>
                <w:b/>
                <w:bCs/>
              </w:rPr>
              <w:t>ДОПОЛНИТЕЛЬНЫЕ СБОРЫ БАНКА, ОПРЕДЕЛЕННЫЕ ТАРИФАМИ БАНКА, СВЯЗАННЫЕ С ОСОБЕННОСТЯМИ ИПОТЕЧНОЙ СДЕЛКИ.</w:t>
            </w:r>
          </w:p>
        </w:tc>
      </w:tr>
      <w:tr w:rsidR="007575E5" w:rsidRPr="007575E5" w:rsidTr="00ED2510">
        <w:trPr>
          <w:trHeight w:val="610"/>
        </w:trPr>
        <w:tc>
          <w:tcPr>
            <w:tcW w:w="7760" w:type="dxa"/>
            <w:vMerge w:val="restart"/>
            <w:hideMark/>
          </w:tcPr>
          <w:p w:rsidR="007575E5" w:rsidRPr="007575E5" w:rsidRDefault="007575E5">
            <w:r w:rsidRPr="007575E5">
              <w:t>Комиссия за перевод средств со счета Заемщика на счет Продавца в случае использования безналичной схемы расчетов</w:t>
            </w:r>
          </w:p>
        </w:tc>
        <w:tc>
          <w:tcPr>
            <w:tcW w:w="7000" w:type="dxa"/>
            <w:hideMark/>
          </w:tcPr>
          <w:p w:rsidR="007575E5" w:rsidRPr="007575E5" w:rsidRDefault="007575E5">
            <w:pPr>
              <w:rPr>
                <w:b/>
                <w:bCs/>
              </w:rPr>
            </w:pPr>
            <w:r w:rsidRPr="007575E5">
              <w:rPr>
                <w:b/>
                <w:bCs/>
              </w:rPr>
              <w:t xml:space="preserve">В пользу третьих лиц на счет, открытый в ВТБ24: </w:t>
            </w:r>
          </w:p>
          <w:p w:rsidR="007575E5" w:rsidRPr="007575E5" w:rsidRDefault="007575E5" w:rsidP="006135BC">
            <w:pPr>
              <w:rPr>
                <w:b/>
                <w:bCs/>
              </w:rPr>
            </w:pPr>
            <w:r w:rsidRPr="007575E5">
              <w:t>1</w:t>
            </w:r>
            <w:r w:rsidR="00831A47">
              <w:t>,5</w:t>
            </w:r>
            <w:r w:rsidRPr="007575E5">
              <w:t xml:space="preserve">% от суммы операции, </w:t>
            </w:r>
            <w:proofErr w:type="spellStart"/>
            <w:r w:rsidRPr="007575E5">
              <w:t>min</w:t>
            </w:r>
            <w:proofErr w:type="spellEnd"/>
            <w:r w:rsidRPr="007575E5">
              <w:t xml:space="preserve"> - </w:t>
            </w:r>
            <w:r w:rsidRPr="007575E5">
              <w:rPr>
                <w:b/>
                <w:bCs/>
              </w:rPr>
              <w:t>200 рублей</w:t>
            </w:r>
            <w:r w:rsidRPr="007575E5">
              <w:t xml:space="preserve">, но не более </w:t>
            </w:r>
            <w:r w:rsidR="006135BC" w:rsidRPr="006135BC">
              <w:rPr>
                <w:b/>
              </w:rPr>
              <w:t>1</w:t>
            </w:r>
            <w:r w:rsidRPr="007575E5">
              <w:rPr>
                <w:b/>
                <w:bCs/>
              </w:rPr>
              <w:t xml:space="preserve"> </w:t>
            </w:r>
            <w:r w:rsidR="006135BC" w:rsidRPr="006135BC">
              <w:rPr>
                <w:b/>
                <w:bCs/>
              </w:rPr>
              <w:t>0</w:t>
            </w:r>
            <w:r w:rsidRPr="007575E5">
              <w:rPr>
                <w:b/>
                <w:bCs/>
              </w:rPr>
              <w:t>00 рублей;</w:t>
            </w:r>
          </w:p>
        </w:tc>
      </w:tr>
      <w:tr w:rsidR="007575E5" w:rsidRPr="007575E5" w:rsidTr="00E70C24">
        <w:trPr>
          <w:trHeight w:val="610"/>
        </w:trPr>
        <w:tc>
          <w:tcPr>
            <w:tcW w:w="7760" w:type="dxa"/>
            <w:vMerge/>
            <w:hideMark/>
          </w:tcPr>
          <w:p w:rsidR="007575E5" w:rsidRPr="007575E5" w:rsidRDefault="007575E5"/>
        </w:tc>
        <w:tc>
          <w:tcPr>
            <w:tcW w:w="7000" w:type="dxa"/>
            <w:hideMark/>
          </w:tcPr>
          <w:p w:rsidR="007575E5" w:rsidRPr="007575E5" w:rsidRDefault="007575E5">
            <w:pPr>
              <w:rPr>
                <w:b/>
                <w:bCs/>
              </w:rPr>
            </w:pPr>
            <w:r w:rsidRPr="007575E5">
              <w:rPr>
                <w:b/>
                <w:bCs/>
              </w:rPr>
              <w:t>На счет, открытый в другом банке:</w:t>
            </w:r>
          </w:p>
          <w:p w:rsidR="007575E5" w:rsidRPr="007575E5" w:rsidRDefault="007575E5" w:rsidP="006135BC">
            <w:pPr>
              <w:rPr>
                <w:b/>
                <w:bCs/>
              </w:rPr>
            </w:pPr>
            <w:r w:rsidRPr="007575E5">
              <w:t xml:space="preserve">1,5% от суммы операции, </w:t>
            </w:r>
            <w:proofErr w:type="spellStart"/>
            <w:r w:rsidRPr="007575E5">
              <w:t>min</w:t>
            </w:r>
            <w:proofErr w:type="spellEnd"/>
            <w:r w:rsidRPr="007575E5">
              <w:t xml:space="preserve"> - </w:t>
            </w:r>
            <w:r w:rsidRPr="007575E5">
              <w:rPr>
                <w:b/>
                <w:bCs/>
              </w:rPr>
              <w:t>200 рублей</w:t>
            </w:r>
            <w:r w:rsidRPr="007575E5">
              <w:t xml:space="preserve">, но не более </w:t>
            </w:r>
            <w:r w:rsidR="006135BC" w:rsidRPr="006135BC">
              <w:rPr>
                <w:b/>
                <w:bCs/>
              </w:rPr>
              <w:t>1</w:t>
            </w:r>
            <w:r w:rsidR="00345ABD" w:rsidRPr="00345ABD">
              <w:rPr>
                <w:b/>
                <w:bCs/>
              </w:rPr>
              <w:t xml:space="preserve"> </w:t>
            </w:r>
            <w:r w:rsidR="006135BC" w:rsidRPr="006135BC">
              <w:rPr>
                <w:b/>
                <w:bCs/>
              </w:rPr>
              <w:t>5</w:t>
            </w:r>
            <w:r w:rsidRPr="007575E5">
              <w:rPr>
                <w:b/>
                <w:bCs/>
              </w:rPr>
              <w:t>00 рублей.</w:t>
            </w:r>
          </w:p>
        </w:tc>
      </w:tr>
      <w:tr w:rsidR="007575E5" w:rsidRPr="007575E5" w:rsidTr="007575E5">
        <w:trPr>
          <w:trHeight w:val="600"/>
        </w:trPr>
        <w:tc>
          <w:tcPr>
            <w:tcW w:w="7760" w:type="dxa"/>
            <w:hideMark/>
          </w:tcPr>
          <w:p w:rsidR="007575E5" w:rsidRPr="007575E5" w:rsidRDefault="007575E5">
            <w:r w:rsidRPr="007575E5">
              <w:t>Курсовая разница (возникает при безналичной форме расчетов по валютным кредитам) в связи с необходимостью</w:t>
            </w:r>
          </w:p>
        </w:tc>
        <w:tc>
          <w:tcPr>
            <w:tcW w:w="7000" w:type="dxa"/>
            <w:hideMark/>
          </w:tcPr>
          <w:p w:rsidR="007575E5" w:rsidRPr="007575E5" w:rsidRDefault="007575E5">
            <w:r w:rsidRPr="007575E5">
              <w:t xml:space="preserve">в зависимости от установленного курса ЦБ РФ и </w:t>
            </w:r>
            <w:proofErr w:type="spellStart"/>
            <w:r w:rsidRPr="007575E5">
              <w:t>внутрибанковского</w:t>
            </w:r>
            <w:proofErr w:type="spellEnd"/>
            <w:r w:rsidRPr="007575E5">
              <w:t xml:space="preserve"> курса на дату сделки (в среднем отличие на 20 копеек)</w:t>
            </w:r>
          </w:p>
        </w:tc>
      </w:tr>
      <w:tr w:rsidR="007575E5" w:rsidRPr="007575E5" w:rsidTr="007575E5">
        <w:trPr>
          <w:trHeight w:val="1290"/>
        </w:trPr>
        <w:tc>
          <w:tcPr>
            <w:tcW w:w="7760" w:type="dxa"/>
            <w:hideMark/>
          </w:tcPr>
          <w:p w:rsidR="007575E5" w:rsidRPr="007575E5" w:rsidRDefault="007575E5">
            <w:r w:rsidRPr="007575E5">
              <w:t>Плата за аренду банковского сейфа (при проведении сделки с  использованием банковских сейфов)</w:t>
            </w:r>
          </w:p>
        </w:tc>
        <w:tc>
          <w:tcPr>
            <w:tcW w:w="7000" w:type="dxa"/>
            <w:hideMark/>
          </w:tcPr>
          <w:p w:rsidR="007575E5" w:rsidRPr="006135BC" w:rsidRDefault="007575E5" w:rsidP="00DA2C26">
            <w:pPr>
              <w:rPr>
                <w:b/>
                <w:bCs/>
              </w:rPr>
            </w:pPr>
            <w:r w:rsidRPr="007575E5">
              <w:t xml:space="preserve">В зависимости от срока аренды ИБС: </w:t>
            </w:r>
            <w:r w:rsidRPr="007575E5">
              <w:br/>
              <w:t>до 30 календ</w:t>
            </w:r>
            <w:proofErr w:type="gramStart"/>
            <w:r w:rsidRPr="007575E5">
              <w:t>.</w:t>
            </w:r>
            <w:proofErr w:type="gramEnd"/>
            <w:r w:rsidRPr="007575E5">
              <w:t xml:space="preserve"> </w:t>
            </w:r>
            <w:proofErr w:type="gramStart"/>
            <w:r w:rsidRPr="007575E5">
              <w:t>д</w:t>
            </w:r>
            <w:proofErr w:type="gramEnd"/>
            <w:r w:rsidRPr="007575E5">
              <w:t xml:space="preserve">ней - </w:t>
            </w:r>
            <w:r w:rsidR="00DA2C26" w:rsidRPr="00DA2C26">
              <w:rPr>
                <w:b/>
                <w:bCs/>
              </w:rPr>
              <w:t>70</w:t>
            </w:r>
            <w:r w:rsidRPr="007575E5">
              <w:rPr>
                <w:b/>
                <w:bCs/>
              </w:rPr>
              <w:t>00 рублей</w:t>
            </w:r>
            <w:r w:rsidRPr="007575E5">
              <w:br/>
              <w:t>до 60 календ. дней -</w:t>
            </w:r>
            <w:r w:rsidRPr="007575E5">
              <w:rPr>
                <w:b/>
                <w:bCs/>
              </w:rPr>
              <w:t xml:space="preserve"> </w:t>
            </w:r>
            <w:r w:rsidR="00DA2C26" w:rsidRPr="00DA2C26">
              <w:rPr>
                <w:b/>
                <w:bCs/>
              </w:rPr>
              <w:t>80</w:t>
            </w:r>
            <w:r w:rsidRPr="007575E5">
              <w:rPr>
                <w:b/>
                <w:bCs/>
              </w:rPr>
              <w:t>00 рублей</w:t>
            </w:r>
            <w:r w:rsidRPr="007575E5">
              <w:br/>
              <w:t xml:space="preserve">до 90 календ. дней - </w:t>
            </w:r>
            <w:r w:rsidR="00DA2C26" w:rsidRPr="00DA2C26">
              <w:rPr>
                <w:b/>
              </w:rPr>
              <w:t>9</w:t>
            </w:r>
            <w:r w:rsidRPr="007575E5">
              <w:rPr>
                <w:b/>
                <w:bCs/>
              </w:rPr>
              <w:t>000 рублей</w:t>
            </w:r>
          </w:p>
          <w:p w:rsidR="00DA2C26" w:rsidRPr="00DA2C26" w:rsidRDefault="00DA2C26" w:rsidP="00DA2C26">
            <w:r w:rsidRPr="00DA2C26">
              <w:rPr>
                <w:bCs/>
              </w:rPr>
              <w:t>до 120 календ</w:t>
            </w:r>
            <w:proofErr w:type="gramStart"/>
            <w:r w:rsidRPr="00DA2C26">
              <w:rPr>
                <w:bCs/>
              </w:rPr>
              <w:t>.</w:t>
            </w:r>
            <w:proofErr w:type="gramEnd"/>
            <w:r w:rsidRPr="00DA2C26">
              <w:rPr>
                <w:bCs/>
              </w:rPr>
              <w:t xml:space="preserve"> </w:t>
            </w:r>
            <w:proofErr w:type="gramStart"/>
            <w:r w:rsidRPr="00DA2C26">
              <w:rPr>
                <w:bCs/>
              </w:rPr>
              <w:t>д</w:t>
            </w:r>
            <w:proofErr w:type="gramEnd"/>
            <w:r w:rsidRPr="00DA2C26">
              <w:rPr>
                <w:bCs/>
              </w:rPr>
              <w:t>ней</w:t>
            </w:r>
            <w:r>
              <w:rPr>
                <w:b/>
                <w:bCs/>
              </w:rPr>
              <w:t xml:space="preserve"> – 9500 рублей</w:t>
            </w:r>
          </w:p>
        </w:tc>
      </w:tr>
      <w:tr w:rsidR="007575E5" w:rsidRPr="007575E5" w:rsidTr="007575E5">
        <w:trPr>
          <w:trHeight w:val="1890"/>
        </w:trPr>
        <w:tc>
          <w:tcPr>
            <w:tcW w:w="7760" w:type="dxa"/>
            <w:hideMark/>
          </w:tcPr>
          <w:p w:rsidR="007575E5" w:rsidRPr="007575E5" w:rsidRDefault="007575E5">
            <w:r w:rsidRPr="007575E5">
              <w:t>Если применяется аккредитивная форма расчетов: открытие аккредитивного счета на имя Продавца (при ипотечных сделках, при условии предоставления кредитных средств ВТБ24)</w:t>
            </w:r>
          </w:p>
        </w:tc>
        <w:tc>
          <w:tcPr>
            <w:tcW w:w="7000" w:type="dxa"/>
            <w:hideMark/>
          </w:tcPr>
          <w:p w:rsidR="007575E5" w:rsidRPr="007575E5" w:rsidRDefault="007575E5" w:rsidP="00DA2C26">
            <w:r w:rsidRPr="007575E5">
              <w:br/>
              <w:t>В зависимости от срока аккредитива:</w:t>
            </w:r>
            <w:r w:rsidRPr="007575E5">
              <w:br/>
              <w:t>до 30 календ</w:t>
            </w:r>
            <w:proofErr w:type="gramStart"/>
            <w:r w:rsidRPr="007575E5">
              <w:t>.</w:t>
            </w:r>
            <w:proofErr w:type="gramEnd"/>
            <w:r w:rsidRPr="007575E5">
              <w:t xml:space="preserve"> </w:t>
            </w:r>
            <w:proofErr w:type="gramStart"/>
            <w:r w:rsidRPr="007575E5">
              <w:t>д</w:t>
            </w:r>
            <w:proofErr w:type="gramEnd"/>
            <w:r w:rsidRPr="007575E5">
              <w:t xml:space="preserve">ней вкл. - </w:t>
            </w:r>
            <w:r w:rsidR="00DA2C26">
              <w:rPr>
                <w:b/>
                <w:bCs/>
              </w:rPr>
              <w:t>15</w:t>
            </w:r>
            <w:r w:rsidRPr="007575E5">
              <w:rPr>
                <w:b/>
                <w:bCs/>
              </w:rPr>
              <w:t>00 рублей</w:t>
            </w:r>
            <w:r w:rsidRPr="007575E5">
              <w:br/>
              <w:t xml:space="preserve">до 60 календ. дней вкл. - </w:t>
            </w:r>
            <w:r w:rsidRPr="007575E5">
              <w:rPr>
                <w:b/>
                <w:bCs/>
              </w:rPr>
              <w:t>3000 рублей</w:t>
            </w:r>
            <w:r w:rsidRPr="007575E5">
              <w:br/>
              <w:t xml:space="preserve">до 90 календ. дней вкл. - </w:t>
            </w:r>
            <w:r w:rsidRPr="007575E5">
              <w:rPr>
                <w:b/>
                <w:bCs/>
              </w:rPr>
              <w:t>4000 рублей</w:t>
            </w:r>
            <w:r w:rsidRPr="007575E5">
              <w:br/>
              <w:t>до 120 календ.</w:t>
            </w:r>
            <w:r w:rsidR="00ED41E2">
              <w:t xml:space="preserve"> </w:t>
            </w:r>
            <w:r w:rsidRPr="007575E5">
              <w:t xml:space="preserve">дней вкл. - </w:t>
            </w:r>
            <w:r w:rsidRPr="007575E5">
              <w:rPr>
                <w:b/>
                <w:bCs/>
              </w:rPr>
              <w:t>4500 рублей</w:t>
            </w:r>
          </w:p>
        </w:tc>
      </w:tr>
      <w:tr w:rsidR="007575E5" w:rsidRPr="007575E5" w:rsidTr="007575E5">
        <w:trPr>
          <w:trHeight w:val="1800"/>
        </w:trPr>
        <w:tc>
          <w:tcPr>
            <w:tcW w:w="7760" w:type="dxa"/>
            <w:hideMark/>
          </w:tcPr>
          <w:p w:rsidR="007575E5" w:rsidRPr="007575E5" w:rsidRDefault="007575E5">
            <w:r w:rsidRPr="007575E5">
              <w:lastRenderedPageBreak/>
              <w:t>Открытие 2-х аккредитивов в рамках одной ипотечной сделки с 2-мя получателями (необходимость применения обсуждается при составлении плана сделки)</w:t>
            </w:r>
          </w:p>
        </w:tc>
        <w:tc>
          <w:tcPr>
            <w:tcW w:w="7000" w:type="dxa"/>
            <w:hideMark/>
          </w:tcPr>
          <w:p w:rsidR="007575E5" w:rsidRPr="007575E5" w:rsidRDefault="007575E5" w:rsidP="00DA2C26">
            <w:r w:rsidRPr="007575E5">
              <w:t>В зависимости от срока аккредитива:</w:t>
            </w:r>
            <w:r w:rsidRPr="007575E5">
              <w:br/>
              <w:t>до 30 календ</w:t>
            </w:r>
            <w:proofErr w:type="gramStart"/>
            <w:r w:rsidRPr="007575E5">
              <w:t>.</w:t>
            </w:r>
            <w:proofErr w:type="gramEnd"/>
            <w:r w:rsidRPr="007575E5">
              <w:t xml:space="preserve"> </w:t>
            </w:r>
            <w:proofErr w:type="gramStart"/>
            <w:r w:rsidRPr="007575E5">
              <w:t>д</w:t>
            </w:r>
            <w:proofErr w:type="gramEnd"/>
            <w:r w:rsidRPr="007575E5">
              <w:t xml:space="preserve">ней вкл. - </w:t>
            </w:r>
            <w:r w:rsidR="00DA2C26">
              <w:rPr>
                <w:b/>
                <w:bCs/>
              </w:rPr>
              <w:t>15</w:t>
            </w:r>
            <w:r w:rsidRPr="007575E5">
              <w:rPr>
                <w:b/>
                <w:bCs/>
              </w:rPr>
              <w:t>00 рублей</w:t>
            </w:r>
            <w:r w:rsidRPr="007575E5">
              <w:br/>
              <w:t xml:space="preserve">до 60 календ. дней вкл. - </w:t>
            </w:r>
            <w:r w:rsidRPr="007575E5">
              <w:rPr>
                <w:b/>
                <w:bCs/>
              </w:rPr>
              <w:t>4000 рублей</w:t>
            </w:r>
            <w:r w:rsidRPr="007575E5">
              <w:br/>
              <w:t xml:space="preserve">до 90 календ. дней вкл. - </w:t>
            </w:r>
            <w:r w:rsidRPr="007575E5">
              <w:rPr>
                <w:b/>
                <w:bCs/>
              </w:rPr>
              <w:t>5000 рублей</w:t>
            </w:r>
            <w:r w:rsidRPr="007575E5">
              <w:br/>
              <w:t>до 120 календ. дней вкл.-</w:t>
            </w:r>
            <w:r w:rsidRPr="007575E5">
              <w:rPr>
                <w:b/>
                <w:bCs/>
              </w:rPr>
              <w:t xml:space="preserve"> 5500 рублей </w:t>
            </w:r>
          </w:p>
        </w:tc>
      </w:tr>
      <w:tr w:rsidR="00287D8B" w:rsidRPr="007575E5" w:rsidTr="007575E5">
        <w:trPr>
          <w:trHeight w:val="480"/>
        </w:trPr>
        <w:tc>
          <w:tcPr>
            <w:tcW w:w="7760" w:type="dxa"/>
          </w:tcPr>
          <w:p w:rsidR="00287D8B" w:rsidRPr="007575E5" w:rsidRDefault="00287D8B">
            <w:r>
              <w:t>Исполнение аккредитива</w:t>
            </w:r>
          </w:p>
        </w:tc>
        <w:tc>
          <w:tcPr>
            <w:tcW w:w="7000" w:type="dxa"/>
          </w:tcPr>
          <w:p w:rsidR="00287D8B" w:rsidRPr="00287D8B" w:rsidRDefault="00DA2C26">
            <w:pPr>
              <w:rPr>
                <w:b/>
              </w:rPr>
            </w:pPr>
            <w:r>
              <w:rPr>
                <w:b/>
              </w:rPr>
              <w:t>1500 рублей</w:t>
            </w:r>
          </w:p>
        </w:tc>
      </w:tr>
      <w:tr w:rsidR="007575E5" w:rsidRPr="007575E5" w:rsidTr="007575E5">
        <w:trPr>
          <w:trHeight w:val="480"/>
        </w:trPr>
        <w:tc>
          <w:tcPr>
            <w:tcW w:w="7760" w:type="dxa"/>
            <w:hideMark/>
          </w:tcPr>
          <w:p w:rsidR="007575E5" w:rsidRPr="007575E5" w:rsidRDefault="007575E5">
            <w:r w:rsidRPr="007575E5">
              <w:t>Изменение условий аккредитива</w:t>
            </w:r>
          </w:p>
        </w:tc>
        <w:tc>
          <w:tcPr>
            <w:tcW w:w="7000" w:type="dxa"/>
            <w:hideMark/>
          </w:tcPr>
          <w:p w:rsidR="007575E5" w:rsidRPr="007575E5" w:rsidRDefault="00414B99">
            <w:pPr>
              <w:rPr>
                <w:b/>
              </w:rPr>
            </w:pPr>
            <w:r>
              <w:rPr>
                <w:b/>
              </w:rPr>
              <w:t>1000</w:t>
            </w:r>
            <w:r w:rsidR="007575E5" w:rsidRPr="007575E5">
              <w:rPr>
                <w:b/>
              </w:rPr>
              <w:t xml:space="preserve"> рублей</w:t>
            </w:r>
          </w:p>
        </w:tc>
      </w:tr>
      <w:tr w:rsidR="00ED41E2" w:rsidRPr="007575E5" w:rsidTr="007575E5">
        <w:trPr>
          <w:trHeight w:val="480"/>
        </w:trPr>
        <w:tc>
          <w:tcPr>
            <w:tcW w:w="7760" w:type="dxa"/>
          </w:tcPr>
          <w:p w:rsidR="00ED41E2" w:rsidRDefault="00ED41E2" w:rsidP="00ED41E2">
            <w:r>
              <w:t>Составление проекта договора купли-продажи в простой письменной форме. Необходимость применения этого тарифа Вы сможете уточнить в ипотечном модуле Банка.</w:t>
            </w:r>
          </w:p>
          <w:p w:rsidR="00ED41E2" w:rsidRPr="007575E5" w:rsidRDefault="00ED41E2"/>
        </w:tc>
        <w:tc>
          <w:tcPr>
            <w:tcW w:w="7000" w:type="dxa"/>
          </w:tcPr>
          <w:p w:rsidR="00ED41E2" w:rsidRPr="00ED41E2" w:rsidRDefault="00ED41E2" w:rsidP="00ED41E2">
            <w:pPr>
              <w:rPr>
                <w:b/>
              </w:rPr>
            </w:pPr>
            <w:r w:rsidRPr="00ED41E2">
              <w:t>Для Москвы, Московской области, Санкт-Петербурга и Ленинградской области</w:t>
            </w:r>
            <w:r w:rsidRPr="00ED41E2">
              <w:rPr>
                <w:b/>
              </w:rPr>
              <w:t xml:space="preserve"> – 5000 рублей</w:t>
            </w:r>
          </w:p>
          <w:p w:rsidR="00ED41E2" w:rsidRPr="007575E5" w:rsidRDefault="00ED41E2" w:rsidP="00ED41E2">
            <w:pPr>
              <w:rPr>
                <w:b/>
              </w:rPr>
            </w:pPr>
            <w:r w:rsidRPr="00ED41E2">
              <w:t>Для других регионов</w:t>
            </w:r>
            <w:r w:rsidRPr="00ED41E2">
              <w:rPr>
                <w:b/>
              </w:rPr>
              <w:t xml:space="preserve"> – 2000 рублей.</w:t>
            </w:r>
          </w:p>
        </w:tc>
      </w:tr>
      <w:tr w:rsidR="007575E5" w:rsidRPr="007575E5" w:rsidTr="007575E5">
        <w:trPr>
          <w:trHeight w:val="1185"/>
        </w:trPr>
        <w:tc>
          <w:tcPr>
            <w:tcW w:w="7760" w:type="dxa"/>
            <w:hideMark/>
          </w:tcPr>
          <w:p w:rsidR="007575E5" w:rsidRPr="007575E5" w:rsidRDefault="007575E5">
            <w:r w:rsidRPr="007575E5">
              <w:t>Предоставление в пользование машинки для пересчета денег и технических средств  для определения подлинности банкнот при кредитных ипотечных сделках</w:t>
            </w:r>
          </w:p>
        </w:tc>
        <w:tc>
          <w:tcPr>
            <w:tcW w:w="7000" w:type="dxa"/>
            <w:hideMark/>
          </w:tcPr>
          <w:p w:rsidR="007575E5" w:rsidRPr="007575E5" w:rsidRDefault="007575E5">
            <w:pPr>
              <w:rPr>
                <w:b/>
                <w:bCs/>
              </w:rPr>
            </w:pPr>
            <w:r w:rsidRPr="007575E5">
              <w:rPr>
                <w:b/>
                <w:bCs/>
              </w:rPr>
              <w:t>Без взимания вознаграждения</w:t>
            </w:r>
          </w:p>
        </w:tc>
      </w:tr>
      <w:tr w:rsidR="007575E5" w:rsidRPr="007575E5" w:rsidTr="007575E5">
        <w:trPr>
          <w:trHeight w:val="900"/>
        </w:trPr>
        <w:tc>
          <w:tcPr>
            <w:tcW w:w="7760" w:type="dxa"/>
            <w:tcBorders>
              <w:bottom w:val="single" w:sz="4" w:space="0" w:color="auto"/>
            </w:tcBorders>
            <w:hideMark/>
          </w:tcPr>
          <w:p w:rsidR="007575E5" w:rsidRPr="007575E5" w:rsidRDefault="007575E5" w:rsidP="007575E5">
            <w:r w:rsidRPr="007575E5">
              <w:t>Выдача наличных денежных средств,</w:t>
            </w:r>
            <w:r>
              <w:t xml:space="preserve"> </w:t>
            </w:r>
            <w:r w:rsidRPr="007575E5">
              <w:t>поступающих на счета клиентов-сторон по ипотечным сделкам в рамках заключения данных сделок,</w:t>
            </w:r>
            <w:r>
              <w:t xml:space="preserve"> </w:t>
            </w:r>
            <w:r w:rsidRPr="007575E5">
              <w:t>при условии предоставления кредитных средств ОАО Внешторгбанк,</w:t>
            </w:r>
            <w:r>
              <w:t xml:space="preserve"> </w:t>
            </w:r>
            <w:r w:rsidRPr="007575E5">
              <w:t>Банк ВТБ 24 (</w:t>
            </w:r>
            <w:r>
              <w:t>П</w:t>
            </w:r>
            <w:r w:rsidRPr="007575E5">
              <w:t>АО)</w:t>
            </w:r>
          </w:p>
        </w:tc>
        <w:tc>
          <w:tcPr>
            <w:tcW w:w="7000" w:type="dxa"/>
            <w:tcBorders>
              <w:bottom w:val="single" w:sz="4" w:space="0" w:color="auto"/>
            </w:tcBorders>
            <w:hideMark/>
          </w:tcPr>
          <w:p w:rsidR="007575E5" w:rsidRPr="007575E5" w:rsidRDefault="007575E5">
            <w:pPr>
              <w:rPr>
                <w:b/>
                <w:bCs/>
              </w:rPr>
            </w:pPr>
            <w:r w:rsidRPr="007575E5">
              <w:rPr>
                <w:b/>
                <w:bCs/>
              </w:rPr>
              <w:t>Без взимания вознаграждения</w:t>
            </w:r>
          </w:p>
        </w:tc>
      </w:tr>
      <w:tr w:rsidR="007575E5" w:rsidRPr="007575E5" w:rsidTr="007575E5">
        <w:trPr>
          <w:trHeight w:val="300"/>
        </w:trPr>
        <w:tc>
          <w:tcPr>
            <w:tcW w:w="14760" w:type="dxa"/>
            <w:gridSpan w:val="2"/>
            <w:shd w:val="clear" w:color="auto" w:fill="D9D9D9" w:themeFill="background1" w:themeFillShade="D9"/>
            <w:hideMark/>
          </w:tcPr>
          <w:p w:rsidR="007575E5" w:rsidRPr="007575E5" w:rsidRDefault="007575E5" w:rsidP="007575E5">
            <w:pPr>
              <w:jc w:val="center"/>
              <w:rPr>
                <w:b/>
                <w:bCs/>
              </w:rPr>
            </w:pPr>
            <w:r w:rsidRPr="007575E5">
              <w:rPr>
                <w:b/>
                <w:bCs/>
              </w:rPr>
              <w:t>РАСХОДЫ, СВЯЗАННЫЕ С ОПЛАТОЙ УСЛУГ ДРУГИХ ОРГАНИЗАЦИЙ</w:t>
            </w:r>
          </w:p>
        </w:tc>
      </w:tr>
      <w:tr w:rsidR="007575E5" w:rsidRPr="007575E5" w:rsidTr="007575E5">
        <w:trPr>
          <w:trHeight w:val="300"/>
        </w:trPr>
        <w:tc>
          <w:tcPr>
            <w:tcW w:w="7760" w:type="dxa"/>
            <w:hideMark/>
          </w:tcPr>
          <w:p w:rsidR="007575E5" w:rsidRPr="007575E5" w:rsidRDefault="007575E5">
            <w:r w:rsidRPr="007575E5">
              <w:t>Оплата страховых премий (уплачивается ежегодно)</w:t>
            </w:r>
          </w:p>
        </w:tc>
        <w:tc>
          <w:tcPr>
            <w:tcW w:w="7000" w:type="dxa"/>
            <w:hideMark/>
          </w:tcPr>
          <w:p w:rsidR="007575E5" w:rsidRPr="007575E5" w:rsidRDefault="007575E5">
            <w:pPr>
              <w:rPr>
                <w:b/>
                <w:bCs/>
              </w:rPr>
            </w:pPr>
            <w:r w:rsidRPr="007575E5">
              <w:rPr>
                <w:b/>
                <w:bCs/>
              </w:rPr>
              <w:t>до  1,2 % от суммы кредита, увеличенной на 15%</w:t>
            </w:r>
          </w:p>
        </w:tc>
      </w:tr>
      <w:tr w:rsidR="007575E5" w:rsidRPr="007575E5" w:rsidTr="007575E5">
        <w:trPr>
          <w:trHeight w:val="300"/>
        </w:trPr>
        <w:tc>
          <w:tcPr>
            <w:tcW w:w="7760" w:type="dxa"/>
            <w:hideMark/>
          </w:tcPr>
          <w:p w:rsidR="007575E5" w:rsidRPr="007575E5" w:rsidRDefault="007575E5">
            <w:r w:rsidRPr="007575E5">
              <w:t xml:space="preserve">Подготовка Отчета об оценке </w:t>
            </w:r>
          </w:p>
        </w:tc>
        <w:tc>
          <w:tcPr>
            <w:tcW w:w="7000" w:type="dxa"/>
            <w:hideMark/>
          </w:tcPr>
          <w:p w:rsidR="007575E5" w:rsidRPr="007575E5" w:rsidRDefault="007575E5">
            <w:pPr>
              <w:rPr>
                <w:b/>
                <w:bCs/>
              </w:rPr>
            </w:pPr>
            <w:r w:rsidRPr="007575E5">
              <w:rPr>
                <w:b/>
                <w:bCs/>
              </w:rPr>
              <w:t>в соответствии с тарифами Оценочной компании</w:t>
            </w:r>
          </w:p>
        </w:tc>
      </w:tr>
      <w:tr w:rsidR="007575E5" w:rsidRPr="007575E5" w:rsidTr="007575E5">
        <w:trPr>
          <w:trHeight w:val="600"/>
        </w:trPr>
        <w:tc>
          <w:tcPr>
            <w:tcW w:w="7760" w:type="dxa"/>
            <w:hideMark/>
          </w:tcPr>
          <w:p w:rsidR="007575E5" w:rsidRPr="007575E5" w:rsidRDefault="007575E5">
            <w:r w:rsidRPr="007575E5">
              <w:t>Оплата тарифов и пошлин за государственную регистрацию договоров, перехода права собственности и права залога квартиры</w:t>
            </w:r>
          </w:p>
        </w:tc>
        <w:tc>
          <w:tcPr>
            <w:tcW w:w="7000" w:type="dxa"/>
            <w:hideMark/>
          </w:tcPr>
          <w:p w:rsidR="007575E5" w:rsidRPr="007575E5" w:rsidRDefault="007575E5">
            <w:pPr>
              <w:rPr>
                <w:b/>
                <w:bCs/>
              </w:rPr>
            </w:pPr>
            <w:r w:rsidRPr="007575E5">
              <w:rPr>
                <w:b/>
                <w:bCs/>
              </w:rPr>
              <w:t xml:space="preserve">в соответствии с тарифами  </w:t>
            </w:r>
            <w:proofErr w:type="spellStart"/>
            <w:r w:rsidRPr="007575E5">
              <w:rPr>
                <w:b/>
                <w:bCs/>
              </w:rPr>
              <w:t>Росреестра</w:t>
            </w:r>
            <w:proofErr w:type="spellEnd"/>
          </w:p>
        </w:tc>
      </w:tr>
      <w:tr w:rsidR="007575E5" w:rsidRPr="007575E5" w:rsidTr="007575E5">
        <w:trPr>
          <w:trHeight w:val="600"/>
        </w:trPr>
        <w:tc>
          <w:tcPr>
            <w:tcW w:w="7760" w:type="dxa"/>
            <w:hideMark/>
          </w:tcPr>
          <w:p w:rsidR="007575E5" w:rsidRPr="007575E5" w:rsidRDefault="007575E5">
            <w:r w:rsidRPr="007575E5">
              <w:t>Оплата услуг нотариуса по подготовке и сопровождению договора (привлечение услуг нотариуса не является обязательным)</w:t>
            </w:r>
          </w:p>
        </w:tc>
        <w:tc>
          <w:tcPr>
            <w:tcW w:w="7000" w:type="dxa"/>
            <w:hideMark/>
          </w:tcPr>
          <w:p w:rsidR="007575E5" w:rsidRPr="007575E5" w:rsidRDefault="007575E5">
            <w:pPr>
              <w:rPr>
                <w:b/>
                <w:bCs/>
              </w:rPr>
            </w:pPr>
            <w:r w:rsidRPr="007575E5">
              <w:rPr>
                <w:b/>
                <w:bCs/>
              </w:rPr>
              <w:t>в соответствии с тарифами нотариальной конторы</w:t>
            </w:r>
          </w:p>
        </w:tc>
      </w:tr>
      <w:tr w:rsidR="007575E5" w:rsidRPr="007575E5" w:rsidTr="007575E5">
        <w:trPr>
          <w:trHeight w:val="600"/>
        </w:trPr>
        <w:tc>
          <w:tcPr>
            <w:tcW w:w="7760" w:type="dxa"/>
            <w:hideMark/>
          </w:tcPr>
          <w:p w:rsidR="007575E5" w:rsidRPr="007575E5" w:rsidRDefault="007575E5">
            <w:r w:rsidRPr="007575E5">
              <w:t>Нотариальное удостоверение копий документов, доверенностей, заявлений и прочих документов, необходимых для государственной регистрации</w:t>
            </w:r>
          </w:p>
        </w:tc>
        <w:tc>
          <w:tcPr>
            <w:tcW w:w="7000" w:type="dxa"/>
            <w:hideMark/>
          </w:tcPr>
          <w:p w:rsidR="007575E5" w:rsidRPr="007575E5" w:rsidRDefault="007575E5">
            <w:pPr>
              <w:rPr>
                <w:b/>
                <w:bCs/>
              </w:rPr>
            </w:pPr>
            <w:r w:rsidRPr="007575E5">
              <w:rPr>
                <w:b/>
                <w:bCs/>
              </w:rPr>
              <w:t>в соответствии с тарифами нотариальной конторы</w:t>
            </w:r>
          </w:p>
        </w:tc>
      </w:tr>
      <w:tr w:rsidR="007575E5" w:rsidRPr="007575E5" w:rsidTr="007575E5">
        <w:trPr>
          <w:trHeight w:val="915"/>
        </w:trPr>
        <w:tc>
          <w:tcPr>
            <w:tcW w:w="7760" w:type="dxa"/>
            <w:hideMark/>
          </w:tcPr>
          <w:p w:rsidR="007575E5" w:rsidRPr="007575E5" w:rsidRDefault="007575E5">
            <w:r w:rsidRPr="007575E5">
              <w:lastRenderedPageBreak/>
              <w:t xml:space="preserve">Комиссия агентства недвижимости определяется договоренностью между </w:t>
            </w:r>
            <w:proofErr w:type="spellStart"/>
            <w:r w:rsidRPr="007575E5">
              <w:t>Риэлтером</w:t>
            </w:r>
            <w:proofErr w:type="spellEnd"/>
            <w:r w:rsidRPr="007575E5">
              <w:t xml:space="preserve"> и Заемщиком (привлечение услуг агентства недвижимости не является обязательным)</w:t>
            </w:r>
          </w:p>
        </w:tc>
        <w:tc>
          <w:tcPr>
            <w:tcW w:w="7000" w:type="dxa"/>
            <w:hideMark/>
          </w:tcPr>
          <w:p w:rsidR="007575E5" w:rsidRPr="007575E5" w:rsidRDefault="007575E5">
            <w:pPr>
              <w:rPr>
                <w:b/>
                <w:bCs/>
              </w:rPr>
            </w:pPr>
            <w:r w:rsidRPr="007575E5">
              <w:rPr>
                <w:b/>
                <w:bCs/>
              </w:rPr>
              <w:t>в соответствии с тарифами агентства недвижимости</w:t>
            </w:r>
          </w:p>
        </w:tc>
      </w:tr>
    </w:tbl>
    <w:p w:rsidR="00FB4915" w:rsidRPr="007575E5" w:rsidRDefault="00FB4915" w:rsidP="007575E5"/>
    <w:sectPr w:rsidR="00FB4915" w:rsidRPr="007575E5" w:rsidSect="007575E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244" w:rsidRDefault="00962244" w:rsidP="007575E5">
      <w:pPr>
        <w:spacing w:after="0" w:line="240" w:lineRule="auto"/>
      </w:pPr>
      <w:r>
        <w:separator/>
      </w:r>
    </w:p>
  </w:endnote>
  <w:endnote w:type="continuationSeparator" w:id="0">
    <w:p w:rsidR="00962244" w:rsidRDefault="00962244" w:rsidP="00757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244" w:rsidRDefault="00962244" w:rsidP="007575E5">
      <w:pPr>
        <w:spacing w:after="0" w:line="240" w:lineRule="auto"/>
      </w:pPr>
      <w:r>
        <w:separator/>
      </w:r>
    </w:p>
  </w:footnote>
  <w:footnote w:type="continuationSeparator" w:id="0">
    <w:p w:rsidR="00962244" w:rsidRDefault="00962244" w:rsidP="00757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4046"/>
    <w:multiLevelType w:val="hybridMultilevel"/>
    <w:tmpl w:val="7A5CA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A3B"/>
    <w:rsid w:val="001B0A3B"/>
    <w:rsid w:val="00222D1F"/>
    <w:rsid w:val="00287D8B"/>
    <w:rsid w:val="00345ABD"/>
    <w:rsid w:val="003A6345"/>
    <w:rsid w:val="00414B99"/>
    <w:rsid w:val="004152D4"/>
    <w:rsid w:val="00514A78"/>
    <w:rsid w:val="006135BC"/>
    <w:rsid w:val="006B3BEA"/>
    <w:rsid w:val="007575E5"/>
    <w:rsid w:val="00831A47"/>
    <w:rsid w:val="00962244"/>
    <w:rsid w:val="00A24E6A"/>
    <w:rsid w:val="00B9014F"/>
    <w:rsid w:val="00D34126"/>
    <w:rsid w:val="00D51556"/>
    <w:rsid w:val="00DA2C26"/>
    <w:rsid w:val="00ED41E2"/>
    <w:rsid w:val="00FA21BB"/>
    <w:rsid w:val="00FB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0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0A3B"/>
    <w:rPr>
      <w:b/>
      <w:bCs/>
    </w:rPr>
  </w:style>
  <w:style w:type="table" w:styleId="a5">
    <w:name w:val="Table Grid"/>
    <w:basedOn w:val="a1"/>
    <w:uiPriority w:val="59"/>
    <w:rsid w:val="00757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575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75E5"/>
  </w:style>
  <w:style w:type="paragraph" w:styleId="a8">
    <w:name w:val="footer"/>
    <w:basedOn w:val="a"/>
    <w:link w:val="a9"/>
    <w:uiPriority w:val="99"/>
    <w:unhideWhenUsed/>
    <w:rsid w:val="007575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75E5"/>
  </w:style>
  <w:style w:type="paragraph" w:styleId="aa">
    <w:name w:val="List Paragraph"/>
    <w:basedOn w:val="a"/>
    <w:uiPriority w:val="34"/>
    <w:qFormat/>
    <w:rsid w:val="00ED41E2"/>
    <w:pPr>
      <w:spacing w:after="0" w:line="240" w:lineRule="auto"/>
      <w:ind w:left="720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0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0A3B"/>
    <w:rPr>
      <w:b/>
      <w:bCs/>
    </w:rPr>
  </w:style>
  <w:style w:type="table" w:styleId="a5">
    <w:name w:val="Table Grid"/>
    <w:basedOn w:val="a1"/>
    <w:uiPriority w:val="59"/>
    <w:rsid w:val="00757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575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75E5"/>
  </w:style>
  <w:style w:type="paragraph" w:styleId="a8">
    <w:name w:val="footer"/>
    <w:basedOn w:val="a"/>
    <w:link w:val="a9"/>
    <w:uiPriority w:val="99"/>
    <w:unhideWhenUsed/>
    <w:rsid w:val="007575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75E5"/>
  </w:style>
  <w:style w:type="paragraph" w:styleId="aa">
    <w:name w:val="List Paragraph"/>
    <w:basedOn w:val="a"/>
    <w:uiPriority w:val="34"/>
    <w:qFormat/>
    <w:rsid w:val="00ED41E2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Люсина Екатерина Евгеньевна</dc:creator>
  <cp:lastModifiedBy>Люсина Екатерина Евгеньевна</cp:lastModifiedBy>
  <cp:revision>2</cp:revision>
  <dcterms:created xsi:type="dcterms:W3CDTF">2017-05-30T12:00:00Z</dcterms:created>
  <dcterms:modified xsi:type="dcterms:W3CDTF">2017-05-30T12:00:00Z</dcterms:modified>
</cp:coreProperties>
</file>