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20"/>
        <w:gridCol w:w="7580"/>
      </w:tblGrid>
      <w:tr w:rsidR="008A1C40" w:rsidRPr="008A1C40" w:rsidTr="00A44C1E">
        <w:trPr>
          <w:trHeight w:val="795"/>
          <w:hidden/>
        </w:trPr>
        <w:tc>
          <w:tcPr>
            <w:tcW w:w="13000" w:type="dxa"/>
            <w:gridSpan w:val="2"/>
            <w:shd w:val="clear" w:color="auto" w:fill="D9D9D9" w:themeFill="background1" w:themeFillShade="D9"/>
            <w:hideMark/>
          </w:tcPr>
          <w:p w:rsidR="008A1C40" w:rsidRPr="008A1C40" w:rsidRDefault="008A1C40" w:rsidP="008A1C40">
            <w:pPr>
              <w:spacing w:after="200" w:line="276" w:lineRule="auto"/>
              <w:jc w:val="center"/>
              <w:rPr>
                <w:vanish/>
              </w:rPr>
            </w:pPr>
            <w:r w:rsidRPr="008A1C40">
              <w:rPr>
                <w:vanish/>
              </w:rPr>
              <w:t>Начало формы</w:t>
            </w:r>
          </w:p>
          <w:p w:rsidR="00BC59B5" w:rsidRPr="008A1C40" w:rsidRDefault="008A1C40" w:rsidP="00353A4C">
            <w:pPr>
              <w:jc w:val="center"/>
              <w:rPr>
                <w:vanish/>
              </w:rPr>
            </w:pPr>
            <w:r w:rsidRPr="008A1C40">
              <w:rPr>
                <w:b/>
                <w:bCs/>
              </w:rPr>
              <w:t>ПЕРЕЧЕНЬ РАСХОДОВ ЗАЕМЩИКА,</w:t>
            </w:r>
            <w:r>
              <w:rPr>
                <w:b/>
                <w:bCs/>
              </w:rPr>
              <w:t xml:space="preserve"> </w:t>
            </w:r>
            <w:r w:rsidRPr="008A1C40">
              <w:rPr>
                <w:b/>
                <w:bCs/>
              </w:rPr>
              <w:t xml:space="preserve">возникающих при приобретении объектов недвижимости </w:t>
            </w:r>
            <w:r>
              <w:rPr>
                <w:b/>
                <w:bCs/>
              </w:rPr>
              <w:t xml:space="preserve">НА СТАДИИ СТРОИТЕЛЬСТВА </w:t>
            </w:r>
            <w:r w:rsidR="005F7F8C">
              <w:rPr>
                <w:b/>
                <w:bCs/>
              </w:rPr>
              <w:t>по программе «Ипотека. Строящееся жилье»</w:t>
            </w:r>
            <w:bookmarkStart w:id="0" w:name="_GoBack"/>
            <w:bookmarkEnd w:id="0"/>
            <w:r w:rsidRPr="008A1C40">
              <w:rPr>
                <w:vanish/>
              </w:rPr>
              <w:t>Конец формы</w:t>
            </w:r>
          </w:p>
        </w:tc>
      </w:tr>
      <w:tr w:rsidR="008A1C40" w:rsidRPr="008A1C40" w:rsidTr="00A44C1E">
        <w:trPr>
          <w:trHeight w:val="300"/>
        </w:trPr>
        <w:tc>
          <w:tcPr>
            <w:tcW w:w="5420" w:type="dxa"/>
            <w:shd w:val="clear" w:color="auto" w:fill="D9D9D9" w:themeFill="background1" w:themeFillShade="D9"/>
            <w:hideMark/>
          </w:tcPr>
          <w:p w:rsidR="008A1C40" w:rsidRPr="008A1C40" w:rsidRDefault="008A1C40" w:rsidP="008A1C40">
            <w:pPr>
              <w:jc w:val="center"/>
              <w:rPr>
                <w:b/>
                <w:bCs/>
              </w:rPr>
            </w:pPr>
            <w:r w:rsidRPr="008A1C40">
              <w:rPr>
                <w:b/>
                <w:bCs/>
              </w:rPr>
              <w:t>ТАРИФЫ БАНКА</w:t>
            </w:r>
          </w:p>
        </w:tc>
        <w:tc>
          <w:tcPr>
            <w:tcW w:w="7580" w:type="dxa"/>
            <w:shd w:val="clear" w:color="auto" w:fill="D9D9D9" w:themeFill="background1" w:themeFillShade="D9"/>
            <w:hideMark/>
          </w:tcPr>
          <w:p w:rsidR="008A1C40" w:rsidRPr="008A1C40" w:rsidRDefault="008A1C40" w:rsidP="008A1C40">
            <w:pPr>
              <w:jc w:val="center"/>
              <w:rPr>
                <w:b/>
                <w:bCs/>
              </w:rPr>
            </w:pPr>
            <w:r w:rsidRPr="008A1C40">
              <w:rPr>
                <w:b/>
                <w:bCs/>
              </w:rPr>
              <w:t>СУММА</w:t>
            </w:r>
          </w:p>
        </w:tc>
      </w:tr>
      <w:tr w:rsidR="008A1C40" w:rsidRPr="008A1C40" w:rsidTr="008A1C40">
        <w:trPr>
          <w:trHeight w:val="600"/>
        </w:trPr>
        <w:tc>
          <w:tcPr>
            <w:tcW w:w="5420" w:type="dxa"/>
            <w:hideMark/>
          </w:tcPr>
          <w:p w:rsidR="008A1C40" w:rsidRPr="008A1C40" w:rsidRDefault="008A1C40">
            <w:r w:rsidRPr="008A1C40">
              <w:t>Комиссия за рассмотрение Заявления-анкеты на получение Кредита</w:t>
            </w:r>
          </w:p>
        </w:tc>
        <w:tc>
          <w:tcPr>
            <w:tcW w:w="7580" w:type="dxa"/>
            <w:hideMark/>
          </w:tcPr>
          <w:p w:rsidR="008A1C40" w:rsidRPr="008A1C40" w:rsidRDefault="008A1C40">
            <w:r w:rsidRPr="008A1C40">
              <w:t>отсутствует</w:t>
            </w:r>
          </w:p>
        </w:tc>
      </w:tr>
      <w:tr w:rsidR="008A1C40" w:rsidRPr="008A1C40" w:rsidTr="008A1C40">
        <w:trPr>
          <w:trHeight w:val="900"/>
        </w:trPr>
        <w:tc>
          <w:tcPr>
            <w:tcW w:w="5420" w:type="dxa"/>
            <w:hideMark/>
          </w:tcPr>
          <w:p w:rsidR="008A1C40" w:rsidRPr="008A1C40" w:rsidRDefault="008A1C40">
            <w:r w:rsidRPr="008A1C40">
              <w:t>Комиссия за повторное и последующее рассмотрение Заявления-анкеты на получение Кредита</w:t>
            </w:r>
          </w:p>
        </w:tc>
        <w:tc>
          <w:tcPr>
            <w:tcW w:w="7580" w:type="dxa"/>
            <w:hideMark/>
          </w:tcPr>
          <w:p w:rsidR="008A1C40" w:rsidRPr="008A1C40" w:rsidRDefault="008A1C40">
            <w:r w:rsidRPr="008A1C40">
              <w:t>отсутствует</w:t>
            </w:r>
          </w:p>
        </w:tc>
      </w:tr>
      <w:tr w:rsidR="008A1C40" w:rsidRPr="008A1C40" w:rsidTr="00A44C1E">
        <w:trPr>
          <w:trHeight w:val="300"/>
        </w:trPr>
        <w:tc>
          <w:tcPr>
            <w:tcW w:w="5420" w:type="dxa"/>
            <w:tcBorders>
              <w:bottom w:val="single" w:sz="4" w:space="0" w:color="auto"/>
            </w:tcBorders>
            <w:hideMark/>
          </w:tcPr>
          <w:p w:rsidR="008A1C40" w:rsidRPr="008A1C40" w:rsidRDefault="008A1C40">
            <w:r w:rsidRPr="008A1C40">
              <w:t>Комиссия за услуги по выдаче Кредита</w:t>
            </w:r>
          </w:p>
        </w:tc>
        <w:tc>
          <w:tcPr>
            <w:tcW w:w="7580" w:type="dxa"/>
            <w:tcBorders>
              <w:bottom w:val="single" w:sz="4" w:space="0" w:color="auto"/>
            </w:tcBorders>
            <w:hideMark/>
          </w:tcPr>
          <w:p w:rsidR="008A1C40" w:rsidRPr="008A1C40" w:rsidRDefault="008A1C40">
            <w:r w:rsidRPr="008A1C40">
              <w:t>отсутствует</w:t>
            </w:r>
          </w:p>
        </w:tc>
      </w:tr>
      <w:tr w:rsidR="008A1C40" w:rsidRPr="008A1C40" w:rsidTr="00A44C1E">
        <w:trPr>
          <w:trHeight w:val="300"/>
        </w:trPr>
        <w:tc>
          <w:tcPr>
            <w:tcW w:w="13000" w:type="dxa"/>
            <w:gridSpan w:val="2"/>
            <w:shd w:val="clear" w:color="auto" w:fill="D9D9D9" w:themeFill="background1" w:themeFillShade="D9"/>
            <w:hideMark/>
          </w:tcPr>
          <w:p w:rsidR="008A1C40" w:rsidRPr="008A1C40" w:rsidRDefault="008A1C40" w:rsidP="00A44C1E">
            <w:pPr>
              <w:jc w:val="center"/>
              <w:rPr>
                <w:b/>
                <w:bCs/>
              </w:rPr>
            </w:pPr>
            <w:r w:rsidRPr="008A1C40">
              <w:rPr>
                <w:b/>
                <w:bCs/>
              </w:rPr>
              <w:t>ПРОЧИЕ РАСХОДЫ</w:t>
            </w:r>
          </w:p>
        </w:tc>
      </w:tr>
      <w:tr w:rsidR="008A1C40" w:rsidRPr="008A1C40" w:rsidTr="00B76E21">
        <w:trPr>
          <w:trHeight w:val="610"/>
        </w:trPr>
        <w:tc>
          <w:tcPr>
            <w:tcW w:w="5420" w:type="dxa"/>
            <w:vMerge w:val="restart"/>
            <w:hideMark/>
          </w:tcPr>
          <w:p w:rsidR="008A1C40" w:rsidRPr="008A1C40" w:rsidRDefault="008A1C40">
            <w:r w:rsidRPr="008A1C40">
              <w:t>Комиссия Банка за перевод средств со счета ВТБ 24 на счет застройщика</w:t>
            </w:r>
          </w:p>
        </w:tc>
        <w:tc>
          <w:tcPr>
            <w:tcW w:w="7580" w:type="dxa"/>
            <w:hideMark/>
          </w:tcPr>
          <w:p w:rsidR="008A1C40" w:rsidRPr="008A1C40" w:rsidRDefault="008A1C40">
            <w:pPr>
              <w:rPr>
                <w:b/>
                <w:bCs/>
              </w:rPr>
            </w:pPr>
            <w:r w:rsidRPr="008A1C40">
              <w:rPr>
                <w:b/>
                <w:bCs/>
              </w:rPr>
              <w:t>В пользу третьих лиц на счет, открытый в ВТБ24:</w:t>
            </w:r>
          </w:p>
          <w:p w:rsidR="008A1C40" w:rsidRPr="008A1C40" w:rsidRDefault="008A1C40" w:rsidP="00A410C8">
            <w:pPr>
              <w:rPr>
                <w:b/>
                <w:bCs/>
              </w:rPr>
            </w:pPr>
            <w:r w:rsidRPr="008A1C40">
              <w:t>1</w:t>
            </w:r>
            <w:r w:rsidR="00C84FCF" w:rsidRPr="00C84FCF">
              <w:t>.5</w:t>
            </w:r>
            <w:r w:rsidRPr="008A1C40">
              <w:t xml:space="preserve">% от суммы операции, </w:t>
            </w:r>
            <w:proofErr w:type="spellStart"/>
            <w:r w:rsidRPr="008A1C40">
              <w:t>min</w:t>
            </w:r>
            <w:proofErr w:type="spellEnd"/>
            <w:r w:rsidRPr="008A1C40">
              <w:t xml:space="preserve"> - </w:t>
            </w:r>
            <w:r w:rsidRPr="008A1C40">
              <w:rPr>
                <w:b/>
              </w:rPr>
              <w:t>200 рублей</w:t>
            </w:r>
            <w:r w:rsidRPr="008A1C40">
              <w:t xml:space="preserve">, но не более </w:t>
            </w:r>
            <w:r w:rsidR="00A410C8" w:rsidRPr="00A410C8">
              <w:rPr>
                <w:b/>
                <w:bCs/>
              </w:rPr>
              <w:t xml:space="preserve">1 </w:t>
            </w:r>
            <w:r w:rsidR="00C84FCF" w:rsidRPr="00C84FCF">
              <w:rPr>
                <w:b/>
                <w:bCs/>
              </w:rPr>
              <w:t>0</w:t>
            </w:r>
            <w:r w:rsidRPr="008A1C40">
              <w:rPr>
                <w:b/>
                <w:bCs/>
              </w:rPr>
              <w:t>00 руб</w:t>
            </w:r>
            <w:r>
              <w:rPr>
                <w:b/>
                <w:bCs/>
              </w:rPr>
              <w:t>лей</w:t>
            </w:r>
          </w:p>
        </w:tc>
      </w:tr>
      <w:tr w:rsidR="008A1C40" w:rsidRPr="008A1C40" w:rsidTr="00724353">
        <w:trPr>
          <w:trHeight w:val="610"/>
        </w:trPr>
        <w:tc>
          <w:tcPr>
            <w:tcW w:w="5420" w:type="dxa"/>
            <w:vMerge/>
            <w:hideMark/>
          </w:tcPr>
          <w:p w:rsidR="008A1C40" w:rsidRPr="008A1C40" w:rsidRDefault="008A1C40"/>
        </w:tc>
        <w:tc>
          <w:tcPr>
            <w:tcW w:w="7580" w:type="dxa"/>
            <w:hideMark/>
          </w:tcPr>
          <w:p w:rsidR="008A1C40" w:rsidRPr="008A1C40" w:rsidRDefault="008A1C40">
            <w:pPr>
              <w:rPr>
                <w:b/>
                <w:bCs/>
              </w:rPr>
            </w:pPr>
            <w:r w:rsidRPr="008A1C40">
              <w:rPr>
                <w:b/>
                <w:bCs/>
              </w:rPr>
              <w:t>На счет, открытый в другом банке:</w:t>
            </w:r>
          </w:p>
          <w:p w:rsidR="008A1C40" w:rsidRPr="008A1C40" w:rsidRDefault="008A1C40" w:rsidP="00A410C8">
            <w:pPr>
              <w:rPr>
                <w:b/>
                <w:bCs/>
              </w:rPr>
            </w:pPr>
            <w:r w:rsidRPr="008A1C40">
              <w:t xml:space="preserve">1,5% от суммы операции, </w:t>
            </w:r>
            <w:proofErr w:type="spellStart"/>
            <w:r w:rsidRPr="008A1C40">
              <w:t>min</w:t>
            </w:r>
            <w:proofErr w:type="spellEnd"/>
            <w:r w:rsidRPr="008A1C40">
              <w:t xml:space="preserve"> - </w:t>
            </w:r>
            <w:r w:rsidRPr="008A1C40">
              <w:rPr>
                <w:b/>
              </w:rPr>
              <w:t>200 рублей</w:t>
            </w:r>
            <w:r w:rsidRPr="008A1C40">
              <w:t>, но не более </w:t>
            </w:r>
            <w:r w:rsidR="00A410C8" w:rsidRPr="00A410C8">
              <w:rPr>
                <w:b/>
                <w:bCs/>
              </w:rPr>
              <w:t>1 5</w:t>
            </w:r>
            <w:r w:rsidRPr="008A1C40">
              <w:rPr>
                <w:b/>
                <w:bCs/>
              </w:rPr>
              <w:t>00 руб</w:t>
            </w:r>
            <w:r>
              <w:rPr>
                <w:b/>
                <w:bCs/>
              </w:rPr>
              <w:t>лей</w:t>
            </w:r>
          </w:p>
        </w:tc>
      </w:tr>
      <w:tr w:rsidR="008A1C40" w:rsidRPr="008A1C40" w:rsidTr="008A1C40">
        <w:trPr>
          <w:trHeight w:val="1800"/>
        </w:trPr>
        <w:tc>
          <w:tcPr>
            <w:tcW w:w="5420" w:type="dxa"/>
            <w:hideMark/>
          </w:tcPr>
          <w:p w:rsidR="008A1C40" w:rsidRPr="008A1C40" w:rsidRDefault="008A1C40">
            <w:r w:rsidRPr="008A1C40">
              <w:t>Если применяется аккредитивная форма расчетов: открытие аккредитивного счета на имя Продавца (при ипотечных сделках, при условии предоставления кредитных средств ВТБ24)</w:t>
            </w:r>
          </w:p>
        </w:tc>
        <w:tc>
          <w:tcPr>
            <w:tcW w:w="7580" w:type="dxa"/>
            <w:hideMark/>
          </w:tcPr>
          <w:p w:rsidR="008A1C40" w:rsidRPr="008A1C40" w:rsidRDefault="008A1C40" w:rsidP="00422C8B">
            <w:r w:rsidRPr="008A1C40">
              <w:t>В зависимости от срока аккредитива:</w:t>
            </w:r>
            <w:r w:rsidRPr="008A1C40">
              <w:br/>
              <w:t>до 30 календ</w:t>
            </w:r>
            <w:proofErr w:type="gramStart"/>
            <w:r w:rsidRPr="008A1C40">
              <w:t>.</w:t>
            </w:r>
            <w:proofErr w:type="gramEnd"/>
            <w:r w:rsidRPr="008A1C40">
              <w:t xml:space="preserve"> </w:t>
            </w:r>
            <w:proofErr w:type="gramStart"/>
            <w:r w:rsidRPr="008A1C40">
              <w:t>д</w:t>
            </w:r>
            <w:proofErr w:type="gramEnd"/>
            <w:r w:rsidRPr="008A1C40">
              <w:t xml:space="preserve">ней вкл. - </w:t>
            </w:r>
            <w:r w:rsidR="00422C8B" w:rsidRPr="00422C8B">
              <w:rPr>
                <w:b/>
              </w:rPr>
              <w:t>15</w:t>
            </w:r>
            <w:r w:rsidRPr="008A1C40">
              <w:rPr>
                <w:b/>
              </w:rPr>
              <w:t>00 рублей</w:t>
            </w:r>
            <w:r w:rsidRPr="008A1C40">
              <w:br/>
              <w:t xml:space="preserve">до 60 календ. дней вкл. - </w:t>
            </w:r>
            <w:r w:rsidRPr="008A1C40">
              <w:rPr>
                <w:b/>
              </w:rPr>
              <w:t>3000 рублей</w:t>
            </w:r>
            <w:r w:rsidRPr="008A1C40">
              <w:rPr>
                <w:b/>
              </w:rPr>
              <w:br/>
            </w:r>
            <w:r w:rsidRPr="008A1C40">
              <w:t xml:space="preserve">до 90 календ. дней вкл. - </w:t>
            </w:r>
            <w:r w:rsidRPr="008A1C40">
              <w:rPr>
                <w:b/>
              </w:rPr>
              <w:t>4000 рублей</w:t>
            </w:r>
            <w:r w:rsidRPr="008A1C40">
              <w:rPr>
                <w:b/>
              </w:rPr>
              <w:br/>
            </w:r>
            <w:r w:rsidRPr="008A1C40">
              <w:t>до 120 календ.</w:t>
            </w:r>
            <w:r w:rsidR="00A96012">
              <w:t xml:space="preserve"> </w:t>
            </w:r>
            <w:r w:rsidRPr="008A1C40">
              <w:t xml:space="preserve">дней вкл. - </w:t>
            </w:r>
            <w:r w:rsidRPr="008A1C40">
              <w:rPr>
                <w:b/>
              </w:rPr>
              <w:t>4500 рублей</w:t>
            </w:r>
          </w:p>
        </w:tc>
      </w:tr>
      <w:tr w:rsidR="008A1C40" w:rsidRPr="008A1C40" w:rsidTr="008A1C40">
        <w:trPr>
          <w:trHeight w:val="1800"/>
        </w:trPr>
        <w:tc>
          <w:tcPr>
            <w:tcW w:w="5420" w:type="dxa"/>
            <w:hideMark/>
          </w:tcPr>
          <w:p w:rsidR="008A1C40" w:rsidRPr="008A1C40" w:rsidRDefault="008A1C40">
            <w:r w:rsidRPr="008A1C40">
              <w:t>Открытие 2-х аккредитивов в рамках одной ипотечной сделки с 2-мя получателями (необходимость применения обсуждается при составлении плана сделки)</w:t>
            </w:r>
          </w:p>
        </w:tc>
        <w:tc>
          <w:tcPr>
            <w:tcW w:w="7580" w:type="dxa"/>
            <w:hideMark/>
          </w:tcPr>
          <w:p w:rsidR="008A1C40" w:rsidRPr="008A1C40" w:rsidRDefault="008A1C40" w:rsidP="00422C8B">
            <w:r w:rsidRPr="008A1C40">
              <w:t>В зависимости от срока аккредитива:</w:t>
            </w:r>
            <w:r w:rsidRPr="008A1C40">
              <w:br/>
              <w:t>до 30 календ</w:t>
            </w:r>
            <w:proofErr w:type="gramStart"/>
            <w:r w:rsidRPr="008A1C40">
              <w:t>.</w:t>
            </w:r>
            <w:proofErr w:type="gramEnd"/>
            <w:r w:rsidRPr="008A1C40">
              <w:t xml:space="preserve"> </w:t>
            </w:r>
            <w:proofErr w:type="gramStart"/>
            <w:r w:rsidRPr="008A1C40">
              <w:t>д</w:t>
            </w:r>
            <w:proofErr w:type="gramEnd"/>
            <w:r w:rsidRPr="008A1C40">
              <w:t xml:space="preserve">ней вкл. - </w:t>
            </w:r>
            <w:r w:rsidR="00422C8B" w:rsidRPr="00422C8B">
              <w:rPr>
                <w:b/>
              </w:rPr>
              <w:t>15</w:t>
            </w:r>
            <w:r w:rsidRPr="008A1C40">
              <w:rPr>
                <w:b/>
              </w:rPr>
              <w:t>00 рублей</w:t>
            </w:r>
            <w:r w:rsidRPr="008A1C40">
              <w:br/>
              <w:t xml:space="preserve">до 60 календ. дней вкл. - </w:t>
            </w:r>
            <w:r w:rsidRPr="008A1C40">
              <w:rPr>
                <w:b/>
              </w:rPr>
              <w:t>4000 рублей</w:t>
            </w:r>
            <w:r w:rsidRPr="008A1C40">
              <w:rPr>
                <w:b/>
              </w:rPr>
              <w:br/>
            </w:r>
            <w:r w:rsidRPr="008A1C40">
              <w:t xml:space="preserve">до 90 календ. дней вкл. - </w:t>
            </w:r>
            <w:r w:rsidRPr="008A1C40">
              <w:rPr>
                <w:b/>
              </w:rPr>
              <w:t>5000 рублей</w:t>
            </w:r>
            <w:r w:rsidRPr="008A1C40">
              <w:br/>
              <w:t xml:space="preserve">до 120 календ. дней вкл.- </w:t>
            </w:r>
            <w:r w:rsidRPr="008A1C40">
              <w:rPr>
                <w:b/>
              </w:rPr>
              <w:t>5500 рублей</w:t>
            </w:r>
            <w:r w:rsidRPr="008A1C40">
              <w:t> </w:t>
            </w:r>
          </w:p>
        </w:tc>
      </w:tr>
      <w:tr w:rsidR="007F62EB" w:rsidRPr="008A1C40" w:rsidTr="008A1C40">
        <w:trPr>
          <w:trHeight w:val="555"/>
        </w:trPr>
        <w:tc>
          <w:tcPr>
            <w:tcW w:w="5420" w:type="dxa"/>
          </w:tcPr>
          <w:p w:rsidR="007F62EB" w:rsidRPr="008A1C40" w:rsidRDefault="007F62EB">
            <w:r>
              <w:t>Исполнение аккредитива</w:t>
            </w:r>
          </w:p>
        </w:tc>
        <w:tc>
          <w:tcPr>
            <w:tcW w:w="7580" w:type="dxa"/>
          </w:tcPr>
          <w:p w:rsidR="007F62EB" w:rsidRPr="00422C8B" w:rsidRDefault="00422C8B">
            <w:pPr>
              <w:rPr>
                <w:b/>
              </w:rPr>
            </w:pPr>
            <w:r>
              <w:rPr>
                <w:b/>
                <w:lang w:val="en-US"/>
              </w:rPr>
              <w:t xml:space="preserve">1500 </w:t>
            </w:r>
            <w:r>
              <w:rPr>
                <w:b/>
              </w:rPr>
              <w:t>рублей</w:t>
            </w:r>
          </w:p>
        </w:tc>
      </w:tr>
      <w:tr w:rsidR="008A1C40" w:rsidRPr="008A1C40" w:rsidTr="008A1C40">
        <w:trPr>
          <w:trHeight w:val="555"/>
        </w:trPr>
        <w:tc>
          <w:tcPr>
            <w:tcW w:w="5420" w:type="dxa"/>
            <w:hideMark/>
          </w:tcPr>
          <w:p w:rsidR="008A1C40" w:rsidRPr="008A1C40" w:rsidRDefault="008A1C40">
            <w:r w:rsidRPr="008A1C40">
              <w:t>Изменение условий аккредитива</w:t>
            </w:r>
          </w:p>
        </w:tc>
        <w:tc>
          <w:tcPr>
            <w:tcW w:w="7580" w:type="dxa"/>
            <w:hideMark/>
          </w:tcPr>
          <w:p w:rsidR="008A1C40" w:rsidRPr="008A1C40" w:rsidRDefault="007F62EB">
            <w:pPr>
              <w:rPr>
                <w:b/>
              </w:rPr>
            </w:pPr>
            <w:r>
              <w:rPr>
                <w:b/>
              </w:rPr>
              <w:t>1000</w:t>
            </w:r>
            <w:r w:rsidR="008A1C40" w:rsidRPr="008A1C40">
              <w:rPr>
                <w:b/>
              </w:rPr>
              <w:t xml:space="preserve"> рублей</w:t>
            </w:r>
          </w:p>
        </w:tc>
      </w:tr>
      <w:tr w:rsidR="008A1C40" w:rsidRPr="008A1C40" w:rsidTr="008A1C40">
        <w:trPr>
          <w:trHeight w:val="1590"/>
        </w:trPr>
        <w:tc>
          <w:tcPr>
            <w:tcW w:w="5420" w:type="dxa"/>
            <w:hideMark/>
          </w:tcPr>
          <w:p w:rsidR="008A1C40" w:rsidRPr="008A1C40" w:rsidRDefault="008A1C40">
            <w:r w:rsidRPr="008A1C40">
              <w:lastRenderedPageBreak/>
              <w:t>Составление проекта договора уступки прав требования (при проведении сделки по переуступке права требования). Необходимость применения этого тарифа обсуждается в ипотечном модуле Банка при подготовке к сделке.</w:t>
            </w:r>
          </w:p>
        </w:tc>
        <w:tc>
          <w:tcPr>
            <w:tcW w:w="7580" w:type="dxa"/>
            <w:hideMark/>
          </w:tcPr>
          <w:p w:rsidR="008A1C40" w:rsidRPr="008A1C40" w:rsidRDefault="008A1C40">
            <w:r w:rsidRPr="008A1C40">
              <w:t xml:space="preserve">Для Москвы, Московской области, Санкт-Петербурга и Ленинградской области – </w:t>
            </w:r>
            <w:r w:rsidRPr="008A1C40">
              <w:rPr>
                <w:b/>
              </w:rPr>
              <w:t>5000 рублей</w:t>
            </w:r>
            <w:proofErr w:type="gramStart"/>
            <w:r w:rsidRPr="008A1C40">
              <w:br/>
              <w:t>Д</w:t>
            </w:r>
            <w:proofErr w:type="gramEnd"/>
            <w:r w:rsidRPr="008A1C40">
              <w:t xml:space="preserve">ля других регионов – </w:t>
            </w:r>
            <w:r w:rsidRPr="008A1C40">
              <w:rPr>
                <w:b/>
              </w:rPr>
              <w:t>2000 рублей</w:t>
            </w:r>
          </w:p>
        </w:tc>
      </w:tr>
      <w:tr w:rsidR="008A1C40" w:rsidRPr="008A1C40" w:rsidTr="00A44C1E">
        <w:trPr>
          <w:trHeight w:val="1425"/>
        </w:trPr>
        <w:tc>
          <w:tcPr>
            <w:tcW w:w="5420" w:type="dxa"/>
            <w:tcBorders>
              <w:bottom w:val="single" w:sz="4" w:space="0" w:color="auto"/>
            </w:tcBorders>
            <w:hideMark/>
          </w:tcPr>
          <w:p w:rsidR="008A1C40" w:rsidRPr="008A1C40" w:rsidRDefault="008A1C40">
            <w:r w:rsidRPr="008A1C40">
              <w:t>Предоставление в пользование машинки для пересчета денег и технических средств  для определения подлинности банкнот при кредитных ипотечных сделках</w:t>
            </w:r>
          </w:p>
        </w:tc>
        <w:tc>
          <w:tcPr>
            <w:tcW w:w="7580" w:type="dxa"/>
            <w:tcBorders>
              <w:bottom w:val="single" w:sz="4" w:space="0" w:color="auto"/>
            </w:tcBorders>
            <w:hideMark/>
          </w:tcPr>
          <w:p w:rsidR="008A1C40" w:rsidRPr="008A1C40" w:rsidRDefault="008A1C40">
            <w:r w:rsidRPr="008A1C40">
              <w:t>Без взимания вознаграждения</w:t>
            </w:r>
          </w:p>
        </w:tc>
      </w:tr>
      <w:tr w:rsidR="008A1C40" w:rsidRPr="008A1C40" w:rsidTr="00A44C1E">
        <w:trPr>
          <w:trHeight w:val="300"/>
        </w:trPr>
        <w:tc>
          <w:tcPr>
            <w:tcW w:w="13000" w:type="dxa"/>
            <w:gridSpan w:val="2"/>
            <w:shd w:val="clear" w:color="auto" w:fill="D9D9D9" w:themeFill="background1" w:themeFillShade="D9"/>
            <w:hideMark/>
          </w:tcPr>
          <w:p w:rsidR="008A1C40" w:rsidRPr="008A1C40" w:rsidRDefault="008A1C40" w:rsidP="00A44C1E">
            <w:pPr>
              <w:jc w:val="center"/>
              <w:rPr>
                <w:b/>
                <w:bCs/>
              </w:rPr>
            </w:pPr>
            <w:r w:rsidRPr="008A1C40">
              <w:rPr>
                <w:b/>
                <w:bCs/>
              </w:rPr>
              <w:t>РАСХОДЫ, СВЯЗАННЫЕ С О</w:t>
            </w:r>
            <w:r>
              <w:rPr>
                <w:b/>
                <w:bCs/>
              </w:rPr>
              <w:t>ПЛАТОЙ УСЛУГ ДРУГИХ ОРГАНИЗАЦИЙ</w:t>
            </w:r>
          </w:p>
        </w:tc>
      </w:tr>
      <w:tr w:rsidR="008A1C40" w:rsidRPr="008A1C40" w:rsidTr="008A1C40">
        <w:trPr>
          <w:trHeight w:val="900"/>
        </w:trPr>
        <w:tc>
          <w:tcPr>
            <w:tcW w:w="5420" w:type="dxa"/>
            <w:hideMark/>
          </w:tcPr>
          <w:p w:rsidR="008A1C40" w:rsidRPr="008A1C40" w:rsidRDefault="008A1C40">
            <w:r w:rsidRPr="008A1C40">
              <w:t xml:space="preserve">Оплата страховых премий (имущественные интересы, связанные с жизнью, трудоспособностью Заемщика) </w:t>
            </w:r>
            <w:r w:rsidRPr="008A1C40">
              <w:rPr>
                <w:u w:val="single"/>
              </w:rPr>
              <w:t>(уплачивается ежегодно)</w:t>
            </w:r>
          </w:p>
        </w:tc>
        <w:tc>
          <w:tcPr>
            <w:tcW w:w="7580" w:type="dxa"/>
            <w:hideMark/>
          </w:tcPr>
          <w:p w:rsidR="008A1C40" w:rsidRPr="008A1C40" w:rsidRDefault="008A1C40">
            <w:pPr>
              <w:rPr>
                <w:b/>
                <w:bCs/>
              </w:rPr>
            </w:pPr>
            <w:r w:rsidRPr="008A1C40">
              <w:rPr>
                <w:b/>
                <w:bCs/>
              </w:rPr>
              <w:t>от 0.5 % от суммы кредита, увеличенной на 15%</w:t>
            </w:r>
          </w:p>
        </w:tc>
      </w:tr>
      <w:tr w:rsidR="008A1C40" w:rsidRPr="008A1C40" w:rsidTr="008A1C40">
        <w:trPr>
          <w:trHeight w:val="645"/>
        </w:trPr>
        <w:tc>
          <w:tcPr>
            <w:tcW w:w="5420" w:type="dxa"/>
            <w:hideMark/>
          </w:tcPr>
          <w:p w:rsidR="008A1C40" w:rsidRPr="008A1C40" w:rsidRDefault="008A1C40">
            <w:r w:rsidRPr="008A1C40">
              <w:t>Подготовка Отчета об оценке</w:t>
            </w:r>
          </w:p>
        </w:tc>
        <w:tc>
          <w:tcPr>
            <w:tcW w:w="7580" w:type="dxa"/>
            <w:hideMark/>
          </w:tcPr>
          <w:p w:rsidR="008A1C40" w:rsidRPr="008A1C40" w:rsidRDefault="008A1C40">
            <w:pPr>
              <w:rPr>
                <w:b/>
                <w:bCs/>
              </w:rPr>
            </w:pPr>
            <w:r w:rsidRPr="008A1C40">
              <w:rPr>
                <w:b/>
                <w:bCs/>
              </w:rPr>
              <w:t>В соответствии с тарифами оценочной компании</w:t>
            </w:r>
          </w:p>
        </w:tc>
      </w:tr>
      <w:tr w:rsidR="008A1C40" w:rsidRPr="008A1C40" w:rsidTr="008A1C40">
        <w:trPr>
          <w:trHeight w:val="900"/>
        </w:trPr>
        <w:tc>
          <w:tcPr>
            <w:tcW w:w="5420" w:type="dxa"/>
            <w:hideMark/>
          </w:tcPr>
          <w:p w:rsidR="008A1C40" w:rsidRPr="008A1C40" w:rsidRDefault="008A1C40">
            <w:r w:rsidRPr="008A1C40">
              <w:t xml:space="preserve">Регистрация Договора участия в долевом строительстве в </w:t>
            </w:r>
            <w:proofErr w:type="spellStart"/>
            <w:r w:rsidRPr="008A1C40">
              <w:t>Росреестре</w:t>
            </w:r>
            <w:proofErr w:type="spellEnd"/>
            <w:r w:rsidRPr="008A1C40">
              <w:t xml:space="preserve">  (при схеме сделки ДУДС)</w:t>
            </w:r>
          </w:p>
        </w:tc>
        <w:tc>
          <w:tcPr>
            <w:tcW w:w="7580" w:type="dxa"/>
            <w:hideMark/>
          </w:tcPr>
          <w:p w:rsidR="008A1C40" w:rsidRPr="008A1C40" w:rsidRDefault="008A1C40">
            <w:pPr>
              <w:rPr>
                <w:b/>
                <w:bCs/>
              </w:rPr>
            </w:pPr>
            <w:r w:rsidRPr="008A1C40">
              <w:rPr>
                <w:b/>
                <w:bCs/>
              </w:rPr>
              <w:t xml:space="preserve">В соответствии с тарифами </w:t>
            </w:r>
            <w:proofErr w:type="spellStart"/>
            <w:r w:rsidRPr="008A1C40">
              <w:rPr>
                <w:b/>
                <w:bCs/>
              </w:rPr>
              <w:t>Росреестра</w:t>
            </w:r>
            <w:proofErr w:type="spellEnd"/>
            <w:r w:rsidRPr="008A1C40">
              <w:rPr>
                <w:b/>
                <w:bCs/>
              </w:rPr>
              <w:t xml:space="preserve"> </w:t>
            </w:r>
          </w:p>
        </w:tc>
      </w:tr>
      <w:tr w:rsidR="008A1C40" w:rsidRPr="008A1C40" w:rsidTr="008A1C40">
        <w:trPr>
          <w:trHeight w:val="1200"/>
        </w:trPr>
        <w:tc>
          <w:tcPr>
            <w:tcW w:w="5420" w:type="dxa"/>
            <w:hideMark/>
          </w:tcPr>
          <w:p w:rsidR="008A1C40" w:rsidRPr="008A1C40" w:rsidRDefault="008A1C40">
            <w:r w:rsidRPr="008A1C40">
              <w:t xml:space="preserve">Комиссия агентства недвижимости определяется договоренностью между </w:t>
            </w:r>
            <w:proofErr w:type="spellStart"/>
            <w:r w:rsidRPr="008A1C40">
              <w:t>Риэлтером</w:t>
            </w:r>
            <w:proofErr w:type="spellEnd"/>
            <w:r w:rsidRPr="008A1C40">
              <w:t xml:space="preserve"> и Заемщиком (привлечение услуг агентства недвижимости не является обязательным)</w:t>
            </w:r>
          </w:p>
        </w:tc>
        <w:tc>
          <w:tcPr>
            <w:tcW w:w="7580" w:type="dxa"/>
            <w:hideMark/>
          </w:tcPr>
          <w:p w:rsidR="008A1C40" w:rsidRPr="008A1C40" w:rsidRDefault="008A1C40">
            <w:pPr>
              <w:rPr>
                <w:b/>
                <w:bCs/>
              </w:rPr>
            </w:pPr>
            <w:r w:rsidRPr="008A1C40">
              <w:rPr>
                <w:b/>
                <w:bCs/>
              </w:rPr>
              <w:t>в соответствии с тарифами агентства недвижимости</w:t>
            </w:r>
          </w:p>
        </w:tc>
      </w:tr>
      <w:tr w:rsidR="008A1C40" w:rsidRPr="008A1C40" w:rsidTr="008A1C40">
        <w:trPr>
          <w:trHeight w:val="900"/>
        </w:trPr>
        <w:tc>
          <w:tcPr>
            <w:tcW w:w="5420" w:type="dxa"/>
            <w:hideMark/>
          </w:tcPr>
          <w:p w:rsidR="008A1C40" w:rsidRPr="008A1C40" w:rsidRDefault="008A1C40">
            <w:r w:rsidRPr="008A1C40">
              <w:t>Нотариальное удостоверение копий документов, доверенностей, заявлений и прочих документов, необходимых для государственной регистрации</w:t>
            </w:r>
          </w:p>
        </w:tc>
        <w:tc>
          <w:tcPr>
            <w:tcW w:w="7580" w:type="dxa"/>
            <w:hideMark/>
          </w:tcPr>
          <w:p w:rsidR="008A1C40" w:rsidRPr="008A1C40" w:rsidRDefault="008A1C40">
            <w:pPr>
              <w:rPr>
                <w:b/>
                <w:bCs/>
              </w:rPr>
            </w:pPr>
            <w:r w:rsidRPr="008A1C40">
              <w:rPr>
                <w:b/>
                <w:bCs/>
              </w:rPr>
              <w:t>в соответствии с тарифами нотариальной конторы</w:t>
            </w:r>
          </w:p>
        </w:tc>
      </w:tr>
      <w:tr w:rsidR="008A1C40" w:rsidRPr="008A1C40" w:rsidTr="008A1C40">
        <w:trPr>
          <w:trHeight w:val="900"/>
        </w:trPr>
        <w:tc>
          <w:tcPr>
            <w:tcW w:w="5420" w:type="dxa"/>
            <w:hideMark/>
          </w:tcPr>
          <w:p w:rsidR="008A1C40" w:rsidRPr="008A1C40" w:rsidRDefault="008A1C40">
            <w:r w:rsidRPr="008A1C40">
              <w:t>Оплата услуг нотариуса по подготовке и сопровождению договора (привлечение услуг нотариуса не является обязательным)</w:t>
            </w:r>
          </w:p>
        </w:tc>
        <w:tc>
          <w:tcPr>
            <w:tcW w:w="7580" w:type="dxa"/>
            <w:hideMark/>
          </w:tcPr>
          <w:p w:rsidR="008A1C40" w:rsidRPr="008A1C40" w:rsidRDefault="008A1C40">
            <w:pPr>
              <w:rPr>
                <w:b/>
                <w:bCs/>
              </w:rPr>
            </w:pPr>
            <w:r w:rsidRPr="008A1C40">
              <w:rPr>
                <w:b/>
                <w:bCs/>
              </w:rPr>
              <w:t>в соответствии с тарифами нотариальной конторы</w:t>
            </w:r>
          </w:p>
        </w:tc>
      </w:tr>
      <w:tr w:rsidR="008A1C40" w:rsidRPr="008A1C40" w:rsidTr="008A1C40">
        <w:trPr>
          <w:trHeight w:val="300"/>
        </w:trPr>
        <w:tc>
          <w:tcPr>
            <w:tcW w:w="13000" w:type="dxa"/>
            <w:gridSpan w:val="2"/>
            <w:hideMark/>
          </w:tcPr>
          <w:p w:rsidR="008A1C40" w:rsidRPr="008A1C40" w:rsidRDefault="008A1C40">
            <w:pPr>
              <w:rPr>
                <w:i/>
                <w:iCs/>
              </w:rPr>
            </w:pPr>
            <w:r w:rsidRPr="008A1C40">
              <w:rPr>
                <w:i/>
                <w:iCs/>
              </w:rPr>
              <w:t>Перечень расходов может отличаться в зависимости от особенностей сделки и оформляемого обеспечения.</w:t>
            </w:r>
          </w:p>
        </w:tc>
      </w:tr>
    </w:tbl>
    <w:p w:rsidR="00FB4915" w:rsidRDefault="00FB4915"/>
    <w:sectPr w:rsidR="00FB4915" w:rsidSect="008A1C4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40"/>
    <w:rsid w:val="00353A4C"/>
    <w:rsid w:val="00422C8B"/>
    <w:rsid w:val="005525B4"/>
    <w:rsid w:val="005F7F8C"/>
    <w:rsid w:val="007F62EB"/>
    <w:rsid w:val="008A1C40"/>
    <w:rsid w:val="00A410C8"/>
    <w:rsid w:val="00A44C1E"/>
    <w:rsid w:val="00A96012"/>
    <w:rsid w:val="00BC59B5"/>
    <w:rsid w:val="00C84FCF"/>
    <w:rsid w:val="00FB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A1C4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A1C4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8A1C4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8A1C40"/>
    <w:rPr>
      <w:rFonts w:ascii="Arial" w:eastAsia="Times New Roman" w:hAnsi="Arial" w:cs="Arial"/>
      <w:vanish/>
      <w:sz w:val="16"/>
      <w:szCs w:val="16"/>
      <w:lang w:eastAsia="ru-RU"/>
    </w:rPr>
  </w:style>
  <w:style w:type="table" w:styleId="a3">
    <w:name w:val="Table Grid"/>
    <w:basedOn w:val="a1"/>
    <w:uiPriority w:val="59"/>
    <w:rsid w:val="008A1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A1C4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A1C4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8A1C4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8A1C40"/>
    <w:rPr>
      <w:rFonts w:ascii="Arial" w:eastAsia="Times New Roman" w:hAnsi="Arial" w:cs="Arial"/>
      <w:vanish/>
      <w:sz w:val="16"/>
      <w:szCs w:val="16"/>
      <w:lang w:eastAsia="ru-RU"/>
    </w:rPr>
  </w:style>
  <w:style w:type="table" w:styleId="a3">
    <w:name w:val="Table Grid"/>
    <w:basedOn w:val="a1"/>
    <w:uiPriority w:val="59"/>
    <w:rsid w:val="008A1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89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Люсина Екатерина Евгеньевна</dc:creator>
  <cp:lastModifiedBy>Люсина Екатерина Евгеньевна</cp:lastModifiedBy>
  <cp:revision>2</cp:revision>
  <dcterms:created xsi:type="dcterms:W3CDTF">2017-05-30T12:01:00Z</dcterms:created>
  <dcterms:modified xsi:type="dcterms:W3CDTF">2017-05-30T12:01:00Z</dcterms:modified>
</cp:coreProperties>
</file>