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666" w:rsidRDefault="002A35DF" w:rsidP="002A35DF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2A35DF">
        <w:rPr>
          <w:rStyle w:val="a3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1.3. Ограничения классических автоматизированных рабочих мес</w:t>
      </w:r>
      <w:r>
        <w:rPr>
          <w:rStyle w:val="a3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</w:t>
      </w:r>
      <w:r w:rsidRPr="002A35DF">
        <w:rPr>
          <w:rStyle w:val="a3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оператора</w:t>
      </w:r>
    </w:p>
    <w:p w:rsidR="002A35DF" w:rsidRPr="002A35DF" w:rsidRDefault="002A35DF" w:rsidP="002A35DF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Классические автоматизированные рабочие места (АРМ) оператора наземного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контура управления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проектировались для решения одной основной задачи: фиксации факта выхода телеметрического параметра 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установленные границы. Однако они оказываются неэффективными при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gram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попытке</w:t>
      </w:r>
      <w:proofErr w:type="gram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ответить на более сложные прогностические вопросы: </w:t>
      </w:r>
      <w:proofErr w:type="gram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какая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подсистема подвергается постепенной деградации, какова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первопричина этого процесса, когда наступит критический отказ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каковы будут последствия бездействия. Для космических аппаратов такие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 критичны из-за высокой цены ошибки, задержек в канале связи и ограниченности временного окна для принятия решений.</w:t>
      </w: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Фундаментальным ограничением традиционных систем является их</w:t>
      </w:r>
      <w: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реактивный характер диагностики. АРМ реагирует преимущественно 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уже свершившееся событие: превышение порога, срабатывание аварийной сигнализации или потерю связи. Оператор получает информацию о проблеме в момент, когда она уже приобрела выраженный характер. Система констатирует, например, перегрев компонента, но не предупреждает о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том, что температура неуклонно росла на протяжении нескольких недель, приближаясь к опасному уровню. Это сокращает запас времени на анализ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вынуждает персонал действовать в режиме экстренного реагирования, повышая риск вторичных отказов.</w:t>
      </w: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Традиционная логика сигнализации строится вокруг </w:t>
      </w:r>
      <w:proofErr w:type="gram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жестких</w:t>
      </w:r>
      <w:proofErr w:type="gram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математических </w:t>
      </w:r>
      <w:proofErr w:type="spell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уставок</w:t>
      </w:r>
      <w:proofErr w:type="spell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, где текущее значение параметра сравнивается с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фиксированными минимальными и максимальными границами. Такой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подход игнорирует операционный контекст. Одно и то же значение параметра может быть штатным в одном режиме работы и аномальным в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другом. Более того, фиксированные пороги создают опасную «зону нормальной деградации». Аппарат может постепенно терять ресурс (например, из-за деградации фотоэлектрических преобразователей или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снижения емкости аккумуляторной батареи), оставаясь при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формально допустимых границах. В этой ситуации тревога не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формируется, оператор наблюдает штатный статус системы, а проблема проявляется внезапно лишь на поздней, часто необратимой стадии.</w:t>
      </w: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Классические АРМ также характеризуются изолированным анализом параметров. Каждый телеметрический канал проверяется независимо от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остальных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, как правило, разными инженерами. Реальные же отказы в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сложных технических системах редко проявляются через один параметр; они формируются как совокупность слабых, </w:t>
      </w:r>
      <w:proofErr w:type="spell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межпараметрических</w:t>
      </w:r>
      <w:proofErr w:type="spell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корреляций. Незначительный рост потребляемого тока, сопровождаемый минимальным повышением температуры и увеличением времени выхода на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режим, по отдельности не пересекает ни одного порога, но в совокупности однозначно указывает на начинающуюся деградацию привода. Традиционные методы не способны выявлять такие многомерные аномалии.</w:t>
      </w: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Особую опасность представляет проблема информационной энтропии в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процессе мониторинга: оператор не знает, чего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именно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 не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знает. В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условиях 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сотен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телеметрических каналов невозможно поддерживать непрерывный фокус внимания на всех параметрах одновременно. Без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предварительных явных признаков неисправности специалист не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может заранее определить, за каким именно показателем необходимо установить пристальное наблюдение, чтобы заметить зарождающуюся тенденцию к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отказу. Обладать полной информацией </w:t>
      </w:r>
      <w:proofErr w:type="spell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когнитивно</w:t>
      </w:r>
      <w:proofErr w:type="spell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невозможно, а обладать лишь ее фрагментами зачастую бессмысленно. В результате выявление скрытых тенденций в классических системах опирается не на системный анализ, а на эмпирические эвристики, интуицию отдельных высококвалифицированных специалистов или, что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недопустимо для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критических систем, на банальное везение.</w:t>
      </w: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35DF" w:rsidRPr="002A35DF" w:rsidRDefault="002A35DF" w:rsidP="002A35DF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Наконец, жесткая привязка к заранее прописанным правилам приводит к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эффекту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 называемого, 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«шторма тревог» (</w:t>
      </w:r>
      <w:proofErr w:type="spell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alarm</w:t>
      </w:r>
      <w:proofErr w:type="spell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storm</w:t>
      </w:r>
      <w:proofErr w:type="spell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). При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одном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физическом сбое могут активироваться десятки вторичных сигналов в смежных подсистемах. Классическое АРМ сообщает о симптомах, но не способно определить первопричину, отфильтровать ложные срабатывания или ранжировать события по степени критичности. Это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вызывае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т у оператора эффект «замыливания», вид усталости, при</w:t>
      </w:r>
      <w:r w:rsidR="00CC7C7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D57254">
        <w:rPr>
          <w:rFonts w:ascii="Times New Roman" w:hAnsi="Times New Roman" w:cs="Times New Roman"/>
          <w:color w:val="000000" w:themeColor="text1"/>
          <w:sz w:val="28"/>
          <w:szCs w:val="28"/>
        </w:rPr>
        <w:t>котором тревог</w:t>
      </w:r>
      <w:r w:rsidR="00CC7C7D">
        <w:rPr>
          <w:rFonts w:ascii="Times New Roman" w:hAnsi="Times New Roman" w:cs="Times New Roman"/>
          <w:color w:val="000000" w:themeColor="text1"/>
          <w:sz w:val="28"/>
          <w:szCs w:val="28"/>
        </w:rPr>
        <w:t>а воспринимается, как вариант нормы, что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снижает доверие к системе. Разрыв между простым мониторингом и принятием решений остается </w:t>
      </w:r>
      <w:proofErr w:type="spellStart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непреодоленным</w:t>
      </w:r>
      <w:proofErr w:type="spellEnd"/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: система указывает на отклонение, но</w:t>
      </w:r>
      <w:r w:rsidR="00CC7C7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вся</w:t>
      </w:r>
      <w:r w:rsidR="00CC7C7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интеллектуальная работа по поиску причины, оценке остаточного ресурса и выбору процедуры парирования возлагается на человека. При</w:t>
      </w:r>
      <w:r w:rsidR="00CC7C7D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2A35DF">
        <w:rPr>
          <w:rFonts w:ascii="Times New Roman" w:hAnsi="Times New Roman" w:cs="Times New Roman"/>
          <w:color w:val="000000" w:themeColor="text1"/>
          <w:sz w:val="28"/>
          <w:szCs w:val="28"/>
        </w:rPr>
        <w:t>росте орбитальных группировок такая модель управления становится принципиально не масштабируемой.</w:t>
      </w:r>
    </w:p>
    <w:sectPr w:rsidR="002A35DF" w:rsidRPr="002A35DF" w:rsidSect="003F1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F112A"/>
    <w:rsid w:val="002A35DF"/>
    <w:rsid w:val="003F14AF"/>
    <w:rsid w:val="004B0DD5"/>
    <w:rsid w:val="006F112A"/>
    <w:rsid w:val="00C05666"/>
    <w:rsid w:val="00CC7C7D"/>
    <w:rsid w:val="00D57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14A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A35D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2026-08-20T19:58:00Z</dcterms:modified>
</cp:coreProperties>
</file>