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C0A" w:rsidRPr="00E46C0A" w:rsidRDefault="00E46C0A" w:rsidP="00E46C0A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E46C0A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 xml:space="preserve">4.2. Нижний уровень архитектуры: специализированные </w:t>
      </w:r>
      <w:proofErr w:type="spellStart"/>
      <w:r w:rsidRPr="00E46C0A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нейросетевые</w:t>
      </w:r>
      <w:proofErr w:type="spellEnd"/>
      <w:r w:rsidRPr="00E46C0A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 xml:space="preserve"> модели для анализа цифровых параметров подсистем</w:t>
      </w:r>
    </w:p>
    <w:p w:rsidR="00C05666" w:rsidRPr="00E46C0A" w:rsidRDefault="00C05666" w:rsidP="00E46C0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t xml:space="preserve">Нижний уровень архитектуры представляет собой ансамбль специализированных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нейросетевых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 xml:space="preserve"> моделей,</w:t>
      </w:r>
      <w:r>
        <w:rPr>
          <w:rFonts w:ascii="Times New Roman" w:hAnsi="Times New Roman" w:cs="Times New Roman"/>
          <w:sz w:val="28"/>
          <w:szCs w:val="28"/>
        </w:rPr>
        <w:t xml:space="preserve"> каждая из которых настроена на </w:t>
      </w:r>
      <w:r w:rsidRPr="00E46C0A">
        <w:rPr>
          <w:rFonts w:ascii="Times New Roman" w:hAnsi="Times New Roman" w:cs="Times New Roman"/>
          <w:sz w:val="28"/>
          <w:szCs w:val="28"/>
        </w:rPr>
        <w:t xml:space="preserve">анализ телеметрических параметров конкретной бортовой подсистемы. Принцип декомпозиции мониторинга по функциональным подсистемам обусловлен фундаментальными различиями в физике процессов, характерных временных масштабах деградации и структуре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межпараметрических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 xml:space="preserve"> связей. Уни</w:t>
      </w:r>
      <w:r>
        <w:rPr>
          <w:rFonts w:ascii="Times New Roman" w:hAnsi="Times New Roman" w:cs="Times New Roman"/>
          <w:sz w:val="28"/>
          <w:szCs w:val="28"/>
        </w:rPr>
        <w:t>версальная модель, обученная на </w:t>
      </w:r>
      <w:r w:rsidRPr="00E46C0A">
        <w:rPr>
          <w:rFonts w:ascii="Times New Roman" w:hAnsi="Times New Roman" w:cs="Times New Roman"/>
          <w:sz w:val="28"/>
          <w:szCs w:val="28"/>
        </w:rPr>
        <w:t>объединенном массиве всех каналов телеметрии, неизбежно теряет чувствительность к слабым специфическим признакам и требует непропорционально больших вычислительных ресурсов. Разделение задач позволяет применять для каждой подсистемы наиболее адекватный математический аппарат и достигат</w:t>
      </w:r>
      <w:r>
        <w:rPr>
          <w:rFonts w:ascii="Times New Roman" w:hAnsi="Times New Roman" w:cs="Times New Roman"/>
          <w:sz w:val="28"/>
          <w:szCs w:val="28"/>
        </w:rPr>
        <w:t>ь требуемой глубины анализа при </w:t>
      </w:r>
      <w:r w:rsidRPr="00E46C0A">
        <w:rPr>
          <w:rFonts w:ascii="Times New Roman" w:hAnsi="Times New Roman" w:cs="Times New Roman"/>
          <w:sz w:val="28"/>
          <w:szCs w:val="28"/>
        </w:rPr>
        <w:t>минимальных затратах.</w:t>
      </w: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t>Для системы электропитания, являющейся критической с точки зрения обеспечения жизнеспособности аппарата, применяется комбинация рекуррентных нейронных сетей и статистических методов анализа временных рядов. Модель непрерывно отслеживает динамику напряжения аккумуляторной батареи, тока заряда и ра</w:t>
      </w:r>
      <w:r>
        <w:rPr>
          <w:rFonts w:ascii="Times New Roman" w:hAnsi="Times New Roman" w:cs="Times New Roman"/>
          <w:sz w:val="28"/>
          <w:szCs w:val="28"/>
        </w:rPr>
        <w:t>зряда, температуры элементов, а </w:t>
      </w:r>
      <w:r w:rsidRPr="00E46C0A">
        <w:rPr>
          <w:rFonts w:ascii="Times New Roman" w:hAnsi="Times New Roman" w:cs="Times New Roman"/>
          <w:sz w:val="28"/>
          <w:szCs w:val="28"/>
        </w:rPr>
        <w:t>также баланс между выработкой фотоэ</w:t>
      </w:r>
      <w:r>
        <w:rPr>
          <w:rFonts w:ascii="Times New Roman" w:hAnsi="Times New Roman" w:cs="Times New Roman"/>
          <w:sz w:val="28"/>
          <w:szCs w:val="28"/>
        </w:rPr>
        <w:t>лектрических преобразователей и </w:t>
      </w:r>
      <w:r w:rsidRPr="00E46C0A">
        <w:rPr>
          <w:rFonts w:ascii="Times New Roman" w:hAnsi="Times New Roman" w:cs="Times New Roman"/>
          <w:sz w:val="28"/>
          <w:szCs w:val="28"/>
        </w:rPr>
        <w:t>потреблением бортовых систем. Ключевой задачей является выявление деградации емкости и увеличения внутреннего сопротивления, которые проявляются в изменении формы кривых заряда и разряда на интервалах, значительно превышающих продолжительность одного витка. Модель вычисляет скользящие статистики, оце</w:t>
      </w:r>
      <w:r>
        <w:rPr>
          <w:rFonts w:ascii="Times New Roman" w:hAnsi="Times New Roman" w:cs="Times New Roman"/>
          <w:sz w:val="28"/>
          <w:szCs w:val="28"/>
        </w:rPr>
        <w:t>нивает производные параметров и </w:t>
      </w:r>
      <w:r w:rsidRPr="00E46C0A">
        <w:rPr>
          <w:rFonts w:ascii="Times New Roman" w:hAnsi="Times New Roman" w:cs="Times New Roman"/>
          <w:sz w:val="28"/>
          <w:szCs w:val="28"/>
        </w:rPr>
        <w:t>формирует вектор признаков, характеризующий отклонение текущего поведения подсистемы от номинального профиля с учетом фазы орбитального полета и условий освещенности.</w:t>
      </w: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t xml:space="preserve">Для системы ориентации и стабилизации архитектура нижнего уровня включает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 xml:space="preserve"> нейронные сети, отражающие физическую структуру связей между датчиками, исполнительными органами и вычислительными блоками. Модель анализирует не только абсолютные значения угловых скоростей и ошибок ориентации, но и взаимные корреляции между каналами, временные задержки в реакциях на управляющие возд</w:t>
      </w:r>
      <w:r>
        <w:rPr>
          <w:rFonts w:ascii="Times New Roman" w:hAnsi="Times New Roman" w:cs="Times New Roman"/>
          <w:sz w:val="28"/>
          <w:szCs w:val="28"/>
        </w:rPr>
        <w:t>ействия и </w:t>
      </w:r>
      <w:r w:rsidRPr="00E46C0A">
        <w:rPr>
          <w:rFonts w:ascii="Times New Roman" w:hAnsi="Times New Roman" w:cs="Times New Roman"/>
          <w:sz w:val="28"/>
          <w:szCs w:val="28"/>
        </w:rPr>
        <w:t xml:space="preserve">спектральные характеристики вибрационных процессов. Такой подход </w:t>
      </w:r>
      <w:r w:rsidRPr="00E46C0A">
        <w:rPr>
          <w:rFonts w:ascii="Times New Roman" w:hAnsi="Times New Roman" w:cs="Times New Roman"/>
          <w:sz w:val="28"/>
          <w:szCs w:val="28"/>
        </w:rPr>
        <w:lastRenderedPageBreak/>
        <w:t>позволяет выявлять ранние признаки механической деградации приводов, разбалансировки маховиков или дрейфа калибровки датчиков, которые проявляются в изменении динамики переходных пр</w:t>
      </w:r>
      <w:r>
        <w:rPr>
          <w:rFonts w:ascii="Times New Roman" w:hAnsi="Times New Roman" w:cs="Times New Roman"/>
          <w:sz w:val="28"/>
          <w:szCs w:val="28"/>
        </w:rPr>
        <w:t>оцессов задолго до </w:t>
      </w:r>
      <w:r w:rsidRPr="00E46C0A">
        <w:rPr>
          <w:rFonts w:ascii="Times New Roman" w:hAnsi="Times New Roman" w:cs="Times New Roman"/>
          <w:sz w:val="28"/>
          <w:szCs w:val="28"/>
        </w:rPr>
        <w:t xml:space="preserve">пересечения пороговых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>.</w:t>
      </w: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t xml:space="preserve">Для двигательной установки применяются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 xml:space="preserve"> нейронные сети, извлекающие локальные паттерны из высо</w:t>
      </w:r>
      <w:r>
        <w:rPr>
          <w:rFonts w:ascii="Times New Roman" w:hAnsi="Times New Roman" w:cs="Times New Roman"/>
          <w:sz w:val="28"/>
          <w:szCs w:val="28"/>
        </w:rPr>
        <w:t>кочастотных сигналов давления в </w:t>
      </w:r>
      <w:r w:rsidRPr="00E46C0A">
        <w:rPr>
          <w:rFonts w:ascii="Times New Roman" w:hAnsi="Times New Roman" w:cs="Times New Roman"/>
          <w:sz w:val="28"/>
          <w:szCs w:val="28"/>
        </w:rPr>
        <w:t>камерах сгорания, температурных профилей и вибрационных характеристик. Модель обучается на шта</w:t>
      </w:r>
      <w:r>
        <w:rPr>
          <w:rFonts w:ascii="Times New Roman" w:hAnsi="Times New Roman" w:cs="Times New Roman"/>
          <w:sz w:val="28"/>
          <w:szCs w:val="28"/>
        </w:rPr>
        <w:t>тных циклах работы двигателей и </w:t>
      </w:r>
      <w:r w:rsidRPr="00E46C0A">
        <w:rPr>
          <w:rFonts w:ascii="Times New Roman" w:hAnsi="Times New Roman" w:cs="Times New Roman"/>
          <w:sz w:val="28"/>
          <w:szCs w:val="28"/>
        </w:rPr>
        <w:t>формирует эталонное представление о форме импульсов тяги. Отклонение реальной телеметрии от эталонного профиля, оцениваемое через ошибку реконструкции, служит индикатором начинающихся проблем с подачей компонентов топлива, износом форсунок или нарушением герметичности трактов.</w:t>
      </w: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t>Общим принципом функционирования нижнего уровня является извлечение многоуровневых признаков из исход</w:t>
      </w:r>
      <w:r>
        <w:rPr>
          <w:rFonts w:ascii="Times New Roman" w:hAnsi="Times New Roman" w:cs="Times New Roman"/>
          <w:sz w:val="28"/>
          <w:szCs w:val="28"/>
        </w:rPr>
        <w:t>ных телеметрических данных. Для </w:t>
      </w:r>
      <w:r w:rsidRPr="00E46C0A">
        <w:rPr>
          <w:rFonts w:ascii="Times New Roman" w:hAnsi="Times New Roman" w:cs="Times New Roman"/>
          <w:sz w:val="28"/>
          <w:szCs w:val="28"/>
        </w:rPr>
        <w:t>каждого временного ряда вычисляются абсолют</w:t>
      </w:r>
      <w:r>
        <w:rPr>
          <w:rFonts w:ascii="Times New Roman" w:hAnsi="Times New Roman" w:cs="Times New Roman"/>
          <w:sz w:val="28"/>
          <w:szCs w:val="28"/>
        </w:rPr>
        <w:t>ные значения, первые и </w:t>
      </w:r>
      <w:r w:rsidRPr="00E46C0A">
        <w:rPr>
          <w:rFonts w:ascii="Times New Roman" w:hAnsi="Times New Roman" w:cs="Times New Roman"/>
          <w:sz w:val="28"/>
          <w:szCs w:val="28"/>
        </w:rPr>
        <w:t xml:space="preserve">вторые производные, скользящие средние и дисперсии в адаптивных окнах наблюдения, взаимные корреляции между связанными каналами с учетом временных сдвигов, а также спектральные характеристики. Совокупность этих признаков формирует компактное векторное представление состояния подсистемы, которое передается на верхний уровень архитектуры. Такой подход обеспечивает существенное сжатие информации: вместо передачи сотен сырых телеметрических отсчетов </w:t>
      </w:r>
      <w:proofErr w:type="gramStart"/>
      <w:r w:rsidRPr="00E46C0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E46C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46C0A">
        <w:rPr>
          <w:rFonts w:ascii="Times New Roman" w:hAnsi="Times New Roman" w:cs="Times New Roman"/>
          <w:sz w:val="28"/>
          <w:szCs w:val="28"/>
        </w:rPr>
        <w:t>оркестратор</w:t>
      </w:r>
      <w:proofErr w:type="gramEnd"/>
      <w:r w:rsidRPr="00E46C0A">
        <w:rPr>
          <w:rFonts w:ascii="Times New Roman" w:hAnsi="Times New Roman" w:cs="Times New Roman"/>
          <w:sz w:val="28"/>
          <w:szCs w:val="28"/>
        </w:rPr>
        <w:t xml:space="preserve"> поступает структурированный вектор из десятков семантически значимых признаков с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46C0A">
        <w:rPr>
          <w:rFonts w:ascii="Times New Roman" w:hAnsi="Times New Roman" w:cs="Times New Roman"/>
          <w:sz w:val="28"/>
          <w:szCs w:val="28"/>
        </w:rPr>
        <w:t>указанием степени отклонения от нормы и уровня уверенности модели.</w:t>
      </w: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t>Важным аспектом является обеспечение ресурсной эффективности моделей нижнего уровня. Каждая специализированная модель оптимизирован</w:t>
      </w:r>
      <w:r>
        <w:rPr>
          <w:rFonts w:ascii="Times New Roman" w:hAnsi="Times New Roman" w:cs="Times New Roman"/>
          <w:sz w:val="28"/>
          <w:szCs w:val="28"/>
        </w:rPr>
        <w:t>а по </w:t>
      </w:r>
      <w:r w:rsidRPr="00E46C0A">
        <w:rPr>
          <w:rFonts w:ascii="Times New Roman" w:hAnsi="Times New Roman" w:cs="Times New Roman"/>
          <w:sz w:val="28"/>
          <w:szCs w:val="28"/>
        </w:rPr>
        <w:t>количеству параметров и вычислительной сложности, что позволяет размещать их как в наземном сегмент</w:t>
      </w:r>
      <w:r>
        <w:rPr>
          <w:rFonts w:ascii="Times New Roman" w:hAnsi="Times New Roman" w:cs="Times New Roman"/>
          <w:sz w:val="28"/>
          <w:szCs w:val="28"/>
        </w:rPr>
        <w:t>е, так и, при необходимости, на </w:t>
      </w:r>
      <w:r w:rsidRPr="00E46C0A">
        <w:rPr>
          <w:rFonts w:ascii="Times New Roman" w:hAnsi="Times New Roman" w:cs="Times New Roman"/>
          <w:sz w:val="28"/>
          <w:szCs w:val="28"/>
        </w:rPr>
        <w:t xml:space="preserve">бортовых вычислительных комплексах с ограниченными ресурсами. Применяются методы квантизации весов,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прунинга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 xml:space="preserve"> незначимых </w:t>
      </w:r>
      <w:r>
        <w:rPr>
          <w:rFonts w:ascii="Times New Roman" w:hAnsi="Times New Roman" w:cs="Times New Roman"/>
          <w:sz w:val="28"/>
          <w:szCs w:val="28"/>
        </w:rPr>
        <w:t>связей и </w:t>
      </w:r>
      <w:r w:rsidRPr="00E46C0A">
        <w:rPr>
          <w:rFonts w:ascii="Times New Roman" w:hAnsi="Times New Roman" w:cs="Times New Roman"/>
          <w:sz w:val="28"/>
          <w:szCs w:val="28"/>
        </w:rPr>
        <w:t>использования специализирован</w:t>
      </w:r>
      <w:r>
        <w:rPr>
          <w:rFonts w:ascii="Times New Roman" w:hAnsi="Times New Roman" w:cs="Times New Roman"/>
          <w:sz w:val="28"/>
          <w:szCs w:val="28"/>
        </w:rPr>
        <w:t>ных аппаратных ускорителей. При </w:t>
      </w:r>
      <w:r w:rsidRPr="00E46C0A">
        <w:rPr>
          <w:rFonts w:ascii="Times New Roman" w:hAnsi="Times New Roman" w:cs="Times New Roman"/>
          <w:sz w:val="28"/>
          <w:szCs w:val="28"/>
        </w:rPr>
        <w:t>дефиците вычислительных ресурсов или энергии система автоматически переходит к упрощенному режиму анализа, сохраняя работоспособность базовых функций обнаружения критических отклонений.</w:t>
      </w: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46C0A" w:rsidRPr="00E46C0A" w:rsidRDefault="00E46C0A" w:rsidP="00E46C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C0A"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Взаимодействие моделей нижнего уровня с верхним уровнем </w:t>
      </w:r>
      <w:proofErr w:type="spellStart"/>
      <w:r w:rsidRPr="00E46C0A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E46C0A">
        <w:rPr>
          <w:rFonts w:ascii="Times New Roman" w:hAnsi="Times New Roman" w:cs="Times New Roman"/>
          <w:sz w:val="28"/>
          <w:szCs w:val="28"/>
        </w:rPr>
        <w:t xml:space="preserve"> осуществляется через стандартизированный протокол передачи диагностических сообщений. Каждое сообщение содержит идентификатор подсистемы, временную метку начала аномалии, вектор наиболее значимых признаков, числовую оценку степени отклонения, уровень уверенности модели и список связанных параметров. Такой формат передачи данных обеспечивает семантическую ясность и позволяет генеративной модели верхнего уровня эффективно синтезировать информацию от множества специализированных источников, вы</w:t>
      </w:r>
      <w:r>
        <w:rPr>
          <w:rFonts w:ascii="Times New Roman" w:hAnsi="Times New Roman" w:cs="Times New Roman"/>
          <w:sz w:val="28"/>
          <w:szCs w:val="28"/>
        </w:rPr>
        <w:t>являя межсистемные корреляции и </w:t>
      </w:r>
      <w:r w:rsidRPr="00E46C0A">
        <w:rPr>
          <w:rFonts w:ascii="Times New Roman" w:hAnsi="Times New Roman" w:cs="Times New Roman"/>
          <w:sz w:val="28"/>
          <w:szCs w:val="28"/>
        </w:rPr>
        <w:t>формируя целостную диагностическую картину состояния космического аппарата.</w:t>
      </w:r>
    </w:p>
    <w:sectPr w:rsidR="00E46C0A" w:rsidRPr="00E46C0A" w:rsidSect="00D70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C05666"/>
    <w:rsid w:val="00D70FF7"/>
    <w:rsid w:val="00E46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F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46C0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2026-08-20T21:53:00Z</dcterms:modified>
</cp:coreProperties>
</file>