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C0" w:rsidRDefault="00BD0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______________________________________________________________________</w:t>
      </w:r>
      <w:r w:rsidR="00DF78DE">
        <w:rPr>
          <w:rFonts w:ascii="Times New Roman" w:hAnsi="Times New Roman"/>
          <w:b/>
          <w:sz w:val="22"/>
          <w:szCs w:val="22"/>
        </w:rPr>
        <w:t>_________</w:t>
      </w:r>
      <w:r>
        <w:rPr>
          <w:rFonts w:ascii="Times New Roman" w:hAnsi="Times New Roman"/>
          <w:b/>
          <w:sz w:val="22"/>
          <w:szCs w:val="22"/>
        </w:rPr>
        <w:t>_______________</w:t>
      </w:r>
    </w:p>
    <w:p w:rsidR="00E438C0" w:rsidRDefault="00E4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b/>
          <w:color w:val="000000"/>
          <w:sz w:val="22"/>
          <w:szCs w:val="22"/>
        </w:rPr>
      </w:pPr>
    </w:p>
    <w:p w:rsidR="00DF78DE" w:rsidRDefault="00DF78DE" w:rsidP="00DF78D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ПРАЙС</w:t>
      </w:r>
      <w:r>
        <w:rPr>
          <w:rFonts w:ascii="Verdana" w:hAnsi="Verdana"/>
          <w:b/>
          <w:lang w:val="en-US"/>
        </w:rPr>
        <w:t>-</w:t>
      </w:r>
      <w:r>
        <w:rPr>
          <w:rFonts w:ascii="Verdana" w:hAnsi="Verdana"/>
          <w:b/>
        </w:rPr>
        <w:t xml:space="preserve">ЛИСТ </w:t>
      </w:r>
      <w:r w:rsidRPr="00A254AE">
        <w:rPr>
          <w:rFonts w:ascii="Verdana" w:hAnsi="Verdana"/>
          <w:b/>
        </w:rPr>
        <w:t>с 2</w:t>
      </w:r>
      <w:r>
        <w:rPr>
          <w:rFonts w:ascii="Verdana" w:hAnsi="Verdana"/>
          <w:b/>
        </w:rPr>
        <w:t>5</w:t>
      </w:r>
      <w:r w:rsidRPr="00A254AE">
        <w:rPr>
          <w:rFonts w:ascii="Verdana" w:hAnsi="Verdana"/>
          <w:b/>
        </w:rPr>
        <w:t>.0</w:t>
      </w:r>
      <w:r>
        <w:rPr>
          <w:rFonts w:ascii="Verdana" w:hAnsi="Verdana"/>
          <w:b/>
        </w:rPr>
        <w:t>1</w:t>
      </w:r>
    </w:p>
    <w:p w:rsidR="002543C2" w:rsidRPr="00135E8D" w:rsidRDefault="002543C2" w:rsidP="00DF78DE">
      <w:pPr>
        <w:jc w:val="center"/>
        <w:rPr>
          <w:rFonts w:ascii="Verdana" w:hAnsi="Verdana"/>
          <w:b/>
        </w:rPr>
      </w:pP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799"/>
        <w:gridCol w:w="2150"/>
      </w:tblGrid>
      <w:tr w:rsidR="00DF78DE" w:rsidRPr="009F58AC" w:rsidTr="008E1358">
        <w:trPr>
          <w:trHeight w:val="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  <w:t>Бренд</w:t>
            </w:r>
          </w:p>
        </w:tc>
        <w:tc>
          <w:tcPr>
            <w:tcW w:w="5799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</w:pPr>
            <w:bookmarkStart w:id="0" w:name="_GoBack"/>
            <w:bookmarkEnd w:id="0"/>
            <w:r w:rsidRPr="00135E8D"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  <w:t>Наименование продукции</w:t>
            </w:r>
          </w:p>
        </w:tc>
        <w:tc>
          <w:tcPr>
            <w:tcW w:w="2150" w:type="dxa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b/>
                <w:bCs/>
                <w:sz w:val="22"/>
                <w:szCs w:val="22"/>
                <w:lang w:eastAsia="ru-RU"/>
              </w:rPr>
              <w:t>Единый прайс-лист руб./м3 (руб./шт.)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 w:val="restart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val="en-US" w:eastAsia="ru-RU"/>
              </w:rPr>
            </w:pPr>
            <w:r w:rsidRPr="00135E8D">
              <w:rPr>
                <w:rFonts w:ascii="Times New Roman" w:hAnsi="Times New Roman"/>
                <w:noProof/>
                <w:sz w:val="22"/>
                <w:szCs w:val="22"/>
                <w:lang w:eastAsia="ru-RU"/>
              </w:rPr>
              <w:drawing>
                <wp:inline distT="0" distB="0" distL="0" distR="0">
                  <wp:extent cx="1114425" cy="1114425"/>
                  <wp:effectExtent l="0" t="0" r="9525" b="9525"/>
                  <wp:docPr id="1" name="Рисунок 1" descr="515a02192def51740175d83fab6041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15a02192def51740175d83fab6041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Блок стеновой D200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9 </w:t>
            </w: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3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стеновой D300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B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1.5/2.0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7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25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перегородочный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="002543C2">
              <w:rPr>
                <w:rFonts w:ascii="Times New Roman" w:hAnsi="Times New Roman"/>
                <w:sz w:val="22"/>
                <w:szCs w:val="22"/>
                <w:lang w:eastAsia="ru-RU"/>
              </w:rPr>
              <w:t>500 В2.5/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В 3.5 600(</w:t>
            </w:r>
            <w:proofErr w:type="gramStart"/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625)*</w:t>
            </w:r>
            <w:proofErr w:type="gramEnd"/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050*250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7 25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Блок стеновой D400 В2.0/2.5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7 25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</w:t>
            </w:r>
          </w:p>
        </w:tc>
      </w:tr>
      <w:tr w:rsidR="00DF78DE" w:rsidRPr="009F58AC" w:rsidTr="008E1358">
        <w:trPr>
          <w:trHeight w:val="54"/>
          <w:jc w:val="center"/>
        </w:trPr>
        <w:tc>
          <w:tcPr>
            <w:tcW w:w="1985" w:type="dxa"/>
            <w:vMerge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перегородочный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400 В2.0/2.5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 w:eastAsia="ru-RU"/>
              </w:rPr>
              <w:t>7 25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стеновой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500 В2.5</w:t>
            </w:r>
            <w:r w:rsidRPr="00135E8D">
              <w:rPr>
                <w:rFonts w:ascii="Times New Roman" w:hAnsi="Times New Roman"/>
                <w:sz w:val="22"/>
                <w:szCs w:val="22"/>
              </w:rPr>
              <w:t>/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В 3.5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5 70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перегородочный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500 В2.5 / В 3.5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5 7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стеновой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600 В 3.5/5.0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5 700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Блок перегородочный D600 В 3.5/5.0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5 700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Блок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500, </w:t>
            </w:r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D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600 </w:t>
            </w:r>
            <w:proofErr w:type="spellStart"/>
            <w:r w:rsidRPr="00135E8D">
              <w:rPr>
                <w:rFonts w:ascii="Times New Roman" w:hAnsi="Times New Roman"/>
                <w:sz w:val="22"/>
                <w:szCs w:val="22"/>
                <w:lang w:val="en-US" w:eastAsia="ru-RU"/>
              </w:rPr>
              <w:t>Bonolit</w:t>
            </w:r>
            <w:proofErr w:type="spellEnd"/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40 и 600*375*250 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7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00</w:t>
            </w:r>
          </w:p>
        </w:tc>
      </w:tr>
      <w:tr w:rsidR="00DF78DE" w:rsidRPr="009F58AC" w:rsidTr="008E1358">
        <w:trPr>
          <w:trHeight w:val="20"/>
          <w:jc w:val="center"/>
        </w:trPr>
        <w:tc>
          <w:tcPr>
            <w:tcW w:w="1985" w:type="dxa"/>
            <w:vMerge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5799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2-й сорт</w:t>
            </w:r>
          </w:p>
        </w:tc>
        <w:tc>
          <w:tcPr>
            <w:tcW w:w="2150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5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eastAsia="ru-RU"/>
              </w:rPr>
              <w:t>7</w:t>
            </w:r>
            <w:r w:rsidRPr="00135E8D">
              <w:rPr>
                <w:rFonts w:ascii="Times New Roman" w:hAnsi="Times New Roman"/>
                <w:sz w:val="22"/>
                <w:szCs w:val="22"/>
                <w:lang w:eastAsia="ru-RU"/>
              </w:rPr>
              <w:t>00</w:t>
            </w:r>
          </w:p>
        </w:tc>
      </w:tr>
    </w:tbl>
    <w:p w:rsidR="00DF78DE" w:rsidRPr="009F58AC" w:rsidRDefault="00DF78DE" w:rsidP="00DF78DE">
      <w:pPr>
        <w:rPr>
          <w:rFonts w:ascii="Verdana" w:hAnsi="Verdana"/>
          <w:i/>
        </w:rPr>
      </w:pPr>
    </w:p>
    <w:tbl>
      <w:tblPr>
        <w:tblW w:w="7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2516"/>
      </w:tblGrid>
      <w:tr w:rsidR="00DF78DE" w:rsidRPr="009F58AC" w:rsidTr="002543C2">
        <w:trPr>
          <w:trHeight w:val="2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b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Наименование продукции (сопутствующая продукция)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b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Цена (</w:t>
            </w:r>
            <w:proofErr w:type="spellStart"/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руб</w:t>
            </w:r>
            <w:proofErr w:type="spellEnd"/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/</w:t>
            </w:r>
            <w:proofErr w:type="spellStart"/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шт</w:t>
            </w:r>
            <w:proofErr w:type="spellEnd"/>
            <w:r w:rsidRPr="00135E8D">
              <w:rPr>
                <w:rFonts w:ascii="Times New Roman" w:hAnsi="Times New Roman"/>
                <w:b/>
                <w:szCs w:val="20"/>
                <w:lang w:eastAsia="ru-RU"/>
              </w:rPr>
              <w:t>)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П-блок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Bonolit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500*250(300,375,400,500) *250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Арочный блок/О-блок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Т-блок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Клей по газобетону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Bonolit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для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тонкошовной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кладки (лето/зима)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320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Клей по газобетону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Poritep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для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тонкошовной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кладки (зима)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320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Полиуретановый клей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Bonolit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«Формула Тепла» 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100 мм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150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200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250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300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800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375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850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Кельма 400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900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Мастерок зубчатый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650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Рубанок металлический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Угольник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Шлифовальная доска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Штроборез</w:t>
            </w:r>
            <w:proofErr w:type="spellEnd"/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Ножовка L-630(твердосплавные напайки на каждом зубе)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2 900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Пила (Ножовка), 700мм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2 100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  <w:hideMark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Очки защитные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300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Захват для блоков крестовой RAL5015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2 500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Уровень ЗУБР «Мастер», 80 см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2 000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val="en-US" w:eastAsia="ru-RU"/>
              </w:rPr>
            </w:pPr>
            <w:proofErr w:type="spellStart"/>
            <w:r w:rsidRPr="00135E8D">
              <w:rPr>
                <w:rFonts w:ascii="Times New Roman" w:hAnsi="Times New Roman"/>
                <w:szCs w:val="20"/>
                <w:lang w:val="en-US" w:eastAsia="ru-RU"/>
              </w:rPr>
              <w:t>Tytan</w:t>
            </w:r>
            <w:proofErr w:type="spellEnd"/>
            <w:r w:rsidRPr="00135E8D">
              <w:rPr>
                <w:rFonts w:ascii="Times New Roman" w:hAnsi="Times New Roman"/>
                <w:szCs w:val="20"/>
                <w:lang w:val="en-US" w:eastAsia="ru-RU"/>
              </w:rPr>
              <w:t xml:space="preserve"> Professional Gun Standard Max </w:t>
            </w:r>
            <w:r w:rsidRPr="00135E8D">
              <w:rPr>
                <w:rFonts w:ascii="Times New Roman" w:hAnsi="Times New Roman"/>
                <w:szCs w:val="20"/>
                <w:lang w:eastAsia="ru-RU"/>
              </w:rPr>
              <w:t>пистолет</w:t>
            </w:r>
            <w:r w:rsidRPr="00135E8D">
              <w:rPr>
                <w:rFonts w:ascii="Times New Roman" w:hAnsi="Times New Roman"/>
                <w:szCs w:val="20"/>
                <w:lang w:val="en-US" w:eastAsia="ru-RU"/>
              </w:rPr>
              <w:t xml:space="preserve"> </w:t>
            </w:r>
            <w:r w:rsidRPr="00135E8D">
              <w:rPr>
                <w:rFonts w:ascii="Times New Roman" w:hAnsi="Times New Roman"/>
                <w:szCs w:val="20"/>
                <w:lang w:eastAsia="ru-RU"/>
              </w:rPr>
              <w:t>для</w:t>
            </w:r>
            <w:r w:rsidRPr="00135E8D">
              <w:rPr>
                <w:rFonts w:ascii="Times New Roman" w:hAnsi="Times New Roman"/>
                <w:szCs w:val="20"/>
                <w:lang w:val="en-US" w:eastAsia="ru-RU"/>
              </w:rPr>
              <w:t xml:space="preserve"> </w:t>
            </w:r>
            <w:r w:rsidRPr="00135E8D">
              <w:rPr>
                <w:rFonts w:ascii="Times New Roman" w:hAnsi="Times New Roman"/>
                <w:szCs w:val="20"/>
                <w:lang w:eastAsia="ru-RU"/>
              </w:rPr>
              <w:t>пены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700</w:t>
            </w:r>
          </w:p>
        </w:tc>
      </w:tr>
      <w:tr w:rsidR="00DF78DE" w:rsidRPr="009F58AC" w:rsidTr="002543C2">
        <w:trPr>
          <w:trHeight w:val="2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DF78DE" w:rsidRPr="00135E8D" w:rsidRDefault="00DF78DE" w:rsidP="008E1358">
            <w:pPr>
              <w:rPr>
                <w:rFonts w:ascii="Times New Roman" w:hAnsi="Times New Roman"/>
                <w:szCs w:val="20"/>
                <w:lang w:eastAsia="ru-RU"/>
              </w:rPr>
            </w:pP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Tytan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</w:t>
            </w:r>
            <w:proofErr w:type="spellStart"/>
            <w:r w:rsidRPr="00135E8D">
              <w:rPr>
                <w:rFonts w:ascii="Times New Roman" w:hAnsi="Times New Roman"/>
                <w:szCs w:val="20"/>
                <w:lang w:eastAsia="ru-RU"/>
              </w:rPr>
              <w:t>Professional</w:t>
            </w:r>
            <w:proofErr w:type="spellEnd"/>
            <w:r w:rsidRPr="00135E8D">
              <w:rPr>
                <w:rFonts w:ascii="Times New Roman" w:hAnsi="Times New Roman"/>
                <w:szCs w:val="20"/>
                <w:lang w:eastAsia="ru-RU"/>
              </w:rPr>
              <w:t xml:space="preserve"> ЭКО очиститель для монтажной пены 500 мл</w:t>
            </w:r>
          </w:p>
        </w:tc>
        <w:tc>
          <w:tcPr>
            <w:tcW w:w="2516" w:type="dxa"/>
            <w:vAlign w:val="center"/>
          </w:tcPr>
          <w:p w:rsidR="00DF78DE" w:rsidRPr="00135E8D" w:rsidRDefault="00DF78DE" w:rsidP="008E1358">
            <w:pPr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 w:rsidRPr="00135E8D">
              <w:rPr>
                <w:rFonts w:ascii="Times New Roman" w:hAnsi="Times New Roman"/>
                <w:szCs w:val="20"/>
                <w:lang w:eastAsia="ru-RU"/>
              </w:rPr>
              <w:t>300</w:t>
            </w:r>
          </w:p>
        </w:tc>
      </w:tr>
    </w:tbl>
    <w:p w:rsidR="00DF78DE" w:rsidRPr="008C0BD9" w:rsidRDefault="00DF78DE" w:rsidP="00DF78DE">
      <w:pPr>
        <w:rPr>
          <w:rFonts w:ascii="Verdana" w:hAnsi="Verdana"/>
          <w:sz w:val="2"/>
          <w:szCs w:val="2"/>
        </w:rPr>
      </w:pPr>
    </w:p>
    <w:p w:rsidR="00E438C0" w:rsidRDefault="00E438C0">
      <w:pPr>
        <w:ind w:firstLine="566"/>
        <w:jc w:val="both"/>
        <w:rPr>
          <w:rFonts w:ascii="Times New Roman" w:hAnsi="Times New Roman"/>
          <w:sz w:val="22"/>
          <w:szCs w:val="22"/>
        </w:rPr>
      </w:pPr>
    </w:p>
    <w:p w:rsidR="00E438C0" w:rsidRDefault="00E43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/>
          <w:b/>
          <w:color w:val="000000"/>
          <w:sz w:val="22"/>
          <w:szCs w:val="22"/>
        </w:rPr>
      </w:pPr>
    </w:p>
    <w:sectPr w:rsidR="00E438C0">
      <w:headerReference w:type="default" r:id="rId8"/>
      <w:footerReference w:type="default" r:id="rId9"/>
      <w:pgSz w:w="11906" w:h="16838"/>
      <w:pgMar w:top="426" w:right="424" w:bottom="567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5EC" w:rsidRDefault="00BD05EC">
      <w:pPr>
        <w:spacing w:line="240" w:lineRule="auto"/>
      </w:pPr>
      <w:r>
        <w:separator/>
      </w:r>
    </w:p>
  </w:endnote>
  <w:endnote w:type="continuationSeparator" w:id="0">
    <w:p w:rsidR="00BD05EC" w:rsidRDefault="00BD0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8C0" w:rsidRDefault="00E438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Calibri" w:eastAsia="Calibri" w:hAnsi="Calibri" w:cs="Calibri"/>
        <w:b/>
        <w:color w:val="000000"/>
        <w:sz w:val="20"/>
        <w:szCs w:val="20"/>
      </w:rPr>
    </w:pPr>
  </w:p>
  <w:p w:rsidR="002543C2" w:rsidRDefault="00BD05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b/>
        <w:color w:val="000000"/>
        <w:sz w:val="16"/>
        <w:szCs w:val="16"/>
      </w:rPr>
    </w:pPr>
    <w:r>
      <w:rPr>
        <w:rFonts w:ascii="Times New Roman" w:hAnsi="Times New Roman"/>
        <w:b/>
        <w:color w:val="000000"/>
        <w:sz w:val="16"/>
        <w:szCs w:val="16"/>
      </w:rPr>
      <w:t>Общество с ограниченной ответственностью «Керамес Груп»</w:t>
    </w:r>
  </w:p>
  <w:p w:rsidR="002543C2" w:rsidRDefault="002543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b/>
        <w:color w:val="000000"/>
        <w:sz w:val="16"/>
        <w:szCs w:val="16"/>
      </w:rPr>
    </w:pPr>
  </w:p>
  <w:p w:rsidR="002543C2" w:rsidRPr="002543C2" w:rsidRDefault="002543C2" w:rsidP="002543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color w:val="000000"/>
        <w:sz w:val="16"/>
        <w:szCs w:val="16"/>
      </w:rPr>
    </w:pPr>
    <w:r w:rsidRPr="002543C2">
      <w:rPr>
        <w:rFonts w:ascii="Times New Roman" w:hAnsi="Times New Roman"/>
        <w:color w:val="000000"/>
        <w:sz w:val="16"/>
        <w:szCs w:val="16"/>
      </w:rPr>
      <w:t>Дистрибьютер производителей газобетона «</w:t>
    </w:r>
    <w:proofErr w:type="spellStart"/>
    <w:r w:rsidRPr="002543C2">
      <w:rPr>
        <w:rFonts w:ascii="Times New Roman" w:hAnsi="Times New Roman"/>
        <w:color w:val="000000"/>
        <w:sz w:val="16"/>
        <w:szCs w:val="16"/>
      </w:rPr>
      <w:t>Ytong</w:t>
    </w:r>
    <w:proofErr w:type="spellEnd"/>
    <w:r w:rsidRPr="002543C2">
      <w:rPr>
        <w:rFonts w:ascii="Times New Roman" w:hAnsi="Times New Roman"/>
        <w:color w:val="000000"/>
        <w:sz w:val="16"/>
        <w:szCs w:val="16"/>
      </w:rPr>
      <w:t>», «</w:t>
    </w:r>
    <w:proofErr w:type="spellStart"/>
    <w:r w:rsidRPr="002543C2">
      <w:rPr>
        <w:rFonts w:ascii="Times New Roman" w:hAnsi="Times New Roman"/>
        <w:color w:val="000000"/>
        <w:sz w:val="16"/>
        <w:szCs w:val="16"/>
      </w:rPr>
      <w:t>Bonolit</w:t>
    </w:r>
    <w:proofErr w:type="spellEnd"/>
    <w:r w:rsidRPr="002543C2">
      <w:rPr>
        <w:rFonts w:ascii="Times New Roman" w:hAnsi="Times New Roman"/>
        <w:color w:val="000000"/>
        <w:sz w:val="16"/>
        <w:szCs w:val="16"/>
      </w:rPr>
      <w:t xml:space="preserve">», </w:t>
    </w:r>
    <w:r>
      <w:rPr>
        <w:rFonts w:ascii="Times New Roman" w:hAnsi="Times New Roman"/>
        <w:color w:val="000000"/>
        <w:sz w:val="16"/>
        <w:szCs w:val="16"/>
      </w:rPr>
      <w:t>цемента «</w:t>
    </w:r>
    <w:r>
      <w:rPr>
        <w:rFonts w:ascii="Times New Roman" w:hAnsi="Times New Roman"/>
        <w:color w:val="000000"/>
        <w:sz w:val="16"/>
        <w:szCs w:val="16"/>
        <w:lang w:val="en-US"/>
      </w:rPr>
      <w:t>HOLCIM</w:t>
    </w:r>
    <w:r>
      <w:rPr>
        <w:rFonts w:ascii="Times New Roman" w:hAnsi="Times New Roman"/>
        <w:color w:val="000000"/>
        <w:sz w:val="16"/>
        <w:szCs w:val="16"/>
      </w:rPr>
      <w:t>»</w:t>
    </w:r>
  </w:p>
  <w:p w:rsidR="002543C2" w:rsidRDefault="002543C2" w:rsidP="002543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color w:val="000000"/>
        <w:sz w:val="16"/>
        <w:szCs w:val="16"/>
      </w:rPr>
    </w:pPr>
    <w:r w:rsidRPr="002543C2">
      <w:rPr>
        <w:rFonts w:ascii="Times New Roman" w:hAnsi="Times New Roman"/>
        <w:color w:val="000000"/>
        <w:sz w:val="16"/>
        <w:szCs w:val="16"/>
      </w:rPr>
      <w:t>отделочных материалов «</w:t>
    </w:r>
    <w:proofErr w:type="spellStart"/>
    <w:r w:rsidRPr="002543C2">
      <w:rPr>
        <w:rFonts w:ascii="Times New Roman" w:hAnsi="Times New Roman"/>
        <w:color w:val="000000"/>
        <w:sz w:val="16"/>
        <w:szCs w:val="16"/>
      </w:rPr>
      <w:t>Kreisel</w:t>
    </w:r>
    <w:proofErr w:type="spellEnd"/>
    <w:r w:rsidRPr="002543C2">
      <w:rPr>
        <w:rFonts w:ascii="Times New Roman" w:hAnsi="Times New Roman"/>
        <w:color w:val="000000"/>
        <w:sz w:val="16"/>
        <w:szCs w:val="16"/>
      </w:rPr>
      <w:t>», «</w:t>
    </w:r>
    <w:proofErr w:type="spellStart"/>
    <w:r w:rsidRPr="002543C2">
      <w:rPr>
        <w:rFonts w:ascii="Times New Roman" w:hAnsi="Times New Roman"/>
        <w:color w:val="000000"/>
        <w:sz w:val="16"/>
        <w:szCs w:val="16"/>
      </w:rPr>
      <w:t>Caparol</w:t>
    </w:r>
    <w:proofErr w:type="spellEnd"/>
    <w:r w:rsidRPr="002543C2">
      <w:rPr>
        <w:rFonts w:ascii="Times New Roman" w:hAnsi="Times New Roman"/>
        <w:color w:val="000000"/>
        <w:sz w:val="16"/>
        <w:szCs w:val="16"/>
      </w:rPr>
      <w:t>»</w:t>
    </w:r>
    <w:r>
      <w:rPr>
        <w:rFonts w:ascii="Times New Roman" w:hAnsi="Times New Roman"/>
        <w:color w:val="000000"/>
        <w:sz w:val="16"/>
        <w:szCs w:val="16"/>
      </w:rPr>
      <w:t>, «</w:t>
    </w:r>
    <w:r>
      <w:rPr>
        <w:rFonts w:ascii="Times New Roman" w:hAnsi="Times New Roman"/>
        <w:color w:val="000000"/>
        <w:sz w:val="16"/>
        <w:szCs w:val="16"/>
        <w:lang w:val="en-US"/>
      </w:rPr>
      <w:t>Perfekta</w:t>
    </w:r>
    <w:r>
      <w:rPr>
        <w:rFonts w:ascii="Times New Roman" w:hAnsi="Times New Roman"/>
        <w:color w:val="000000"/>
        <w:sz w:val="16"/>
        <w:szCs w:val="16"/>
      </w:rPr>
      <w:t>»,</w:t>
    </w:r>
    <w:r w:rsidRPr="002543C2">
      <w:rPr>
        <w:rFonts w:ascii="Times New Roman" w:hAnsi="Times New Roman"/>
        <w:color w:val="000000"/>
        <w:sz w:val="16"/>
        <w:szCs w:val="16"/>
      </w:rPr>
      <w:t xml:space="preserve"> </w:t>
    </w:r>
    <w:r w:rsidRPr="002543C2">
      <w:rPr>
        <w:rFonts w:ascii="Times New Roman" w:hAnsi="Times New Roman"/>
        <w:color w:val="000000"/>
        <w:sz w:val="16"/>
        <w:szCs w:val="16"/>
      </w:rPr>
      <w:t xml:space="preserve">кирпича </w:t>
    </w:r>
    <w:r>
      <w:rPr>
        <w:rFonts w:ascii="Times New Roman" w:hAnsi="Times New Roman"/>
        <w:color w:val="000000"/>
        <w:sz w:val="16"/>
        <w:szCs w:val="16"/>
      </w:rPr>
      <w:t>«ЛСР» и др.</w:t>
    </w:r>
  </w:p>
  <w:p w:rsidR="00E438C0" w:rsidRDefault="00BD05EC" w:rsidP="002543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16"/>
        <w:szCs w:val="16"/>
      </w:rPr>
      <w:br/>
      <w:t xml:space="preserve">109316, г. Москва, Волгоградский проспект, </w:t>
    </w:r>
    <w:r>
      <w:rPr>
        <w:rFonts w:ascii="Times New Roman" w:hAnsi="Times New Roman"/>
        <w:sz w:val="16"/>
        <w:szCs w:val="16"/>
      </w:rPr>
      <w:t>47</w:t>
    </w:r>
  </w:p>
  <w:p w:rsidR="00E438C0" w:rsidRDefault="00BD05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16"/>
        <w:szCs w:val="16"/>
      </w:rPr>
      <w:t xml:space="preserve"> Тел.: 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highlight w:val="white"/>
      </w:rPr>
      <w:t xml:space="preserve">8 (800) 101-63-67, </w:t>
    </w:r>
    <w:r>
      <w:rPr>
        <w:rFonts w:ascii="Times New Roman" w:hAnsi="Times New Roman"/>
        <w:sz w:val="16"/>
        <w:szCs w:val="16"/>
      </w:rPr>
      <w:t>8</w:t>
    </w:r>
    <w:r>
      <w:rPr>
        <w:rFonts w:ascii="Times New Roman" w:hAnsi="Times New Roman"/>
        <w:color w:val="000000"/>
        <w:sz w:val="16"/>
        <w:szCs w:val="16"/>
      </w:rPr>
      <w:t xml:space="preserve"> (</w:t>
    </w:r>
    <w:r>
      <w:rPr>
        <w:rFonts w:ascii="Times New Roman" w:hAnsi="Times New Roman"/>
        <w:sz w:val="16"/>
        <w:szCs w:val="16"/>
      </w:rPr>
      <w:t>925</w:t>
    </w:r>
    <w:r>
      <w:rPr>
        <w:rFonts w:ascii="Times New Roman" w:hAnsi="Times New Roman"/>
        <w:color w:val="000000"/>
        <w:sz w:val="16"/>
        <w:szCs w:val="16"/>
      </w:rPr>
      <w:t>) 772-62-69</w:t>
    </w:r>
    <w:r>
      <w:rPr>
        <w:rFonts w:ascii="Times New Roman" w:hAnsi="Times New Roman"/>
        <w:color w:val="000000"/>
        <w:sz w:val="16"/>
        <w:szCs w:val="16"/>
      </w:rPr>
      <w:br/>
      <w:t>www</w:t>
    </w:r>
    <w:r>
      <w:rPr>
        <w:rFonts w:ascii="Times New Roman" w:hAnsi="Times New Roman"/>
        <w:color w:val="000080"/>
        <w:sz w:val="16"/>
        <w:szCs w:val="16"/>
      </w:rPr>
      <w:t>.</w:t>
    </w:r>
    <w:r>
      <w:rPr>
        <w:rFonts w:ascii="Times New Roman" w:hAnsi="Times New Roman"/>
        <w:color w:val="000000"/>
        <w:sz w:val="16"/>
        <w:szCs w:val="16"/>
      </w:rPr>
      <w:t>kerames.ru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5EC" w:rsidRDefault="00BD05EC">
      <w:pPr>
        <w:spacing w:line="240" w:lineRule="auto"/>
      </w:pPr>
      <w:r>
        <w:separator/>
      </w:r>
    </w:p>
  </w:footnote>
  <w:footnote w:type="continuationSeparator" w:id="0">
    <w:p w:rsidR="00BD05EC" w:rsidRDefault="00BD0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8C0" w:rsidRPr="00DF78DE" w:rsidRDefault="00DF78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6096"/>
        <w:tab w:val="right" w:pos="9355"/>
      </w:tabs>
      <w:spacing w:line="240" w:lineRule="auto"/>
      <w:ind w:left="7788"/>
      <w:jc w:val="right"/>
      <w:rPr>
        <w:rFonts w:ascii="Times New Roman" w:hAnsi="Times New Roman"/>
        <w:sz w:val="24"/>
        <w:szCs w:val="24"/>
        <w:highlight w:val="white"/>
        <w:lang w:val="en-US"/>
      </w:rPr>
    </w:pPr>
    <w:r w:rsidRPr="00DF78DE">
      <w:rPr>
        <w:noProof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-88265</wp:posOffset>
          </wp:positionH>
          <wp:positionV relativeFrom="paragraph">
            <wp:posOffset>-78105</wp:posOffset>
          </wp:positionV>
          <wp:extent cx="2628900" cy="685800"/>
          <wp:effectExtent l="0" t="0" r="0" b="0"/>
          <wp:wrapSquare wrapText="bothSides" distT="0" distB="0" distL="114300" distR="114300"/>
          <wp:docPr id="2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89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05EC" w:rsidRPr="00DF78DE">
      <w:rPr>
        <w:rFonts w:ascii="Times New Roman" w:hAnsi="Times New Roman"/>
        <w:color w:val="000000"/>
        <w:sz w:val="24"/>
        <w:szCs w:val="24"/>
      </w:rPr>
      <w:t>Тел</w:t>
    </w:r>
    <w:r w:rsidR="00BD05EC" w:rsidRPr="00DF78DE">
      <w:rPr>
        <w:rFonts w:ascii="Times New Roman" w:hAnsi="Times New Roman"/>
        <w:color w:val="000000"/>
        <w:sz w:val="24"/>
        <w:szCs w:val="24"/>
        <w:lang w:val="en-US"/>
      </w:rPr>
      <w:t xml:space="preserve">.: </w:t>
    </w:r>
    <w:r w:rsidR="00BD05EC" w:rsidRPr="00DF78DE">
      <w:rPr>
        <w:rFonts w:ascii="Times New Roman" w:hAnsi="Times New Roman"/>
        <w:sz w:val="24"/>
        <w:szCs w:val="24"/>
        <w:highlight w:val="white"/>
        <w:lang w:val="en-US"/>
      </w:rPr>
      <w:t>8 (800) 101-63-67</w:t>
    </w:r>
  </w:p>
  <w:p w:rsidR="00DF78DE" w:rsidRDefault="00BD05EC" w:rsidP="00DF78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6096"/>
        <w:tab w:val="right" w:pos="9355"/>
      </w:tabs>
      <w:spacing w:line="240" w:lineRule="auto"/>
      <w:ind w:left="7788"/>
      <w:jc w:val="right"/>
      <w:rPr>
        <w:rFonts w:ascii="Times New Roman" w:hAnsi="Times New Roman"/>
        <w:color w:val="000080"/>
        <w:sz w:val="24"/>
        <w:szCs w:val="24"/>
        <w:lang w:val="en-US"/>
      </w:rPr>
    </w:pPr>
    <w:r w:rsidRPr="00DF78DE">
      <w:rPr>
        <w:rFonts w:ascii="Times New Roman" w:hAnsi="Times New Roman"/>
        <w:color w:val="000000"/>
        <w:sz w:val="24"/>
        <w:szCs w:val="24"/>
        <w:lang w:val="en-US"/>
      </w:rPr>
      <w:t xml:space="preserve">E-mail: </w:t>
    </w:r>
    <w:r w:rsidRPr="00DF78DE">
      <w:rPr>
        <w:rFonts w:ascii="Times New Roman" w:hAnsi="Times New Roman"/>
        <w:color w:val="000080"/>
        <w:sz w:val="24"/>
        <w:szCs w:val="24"/>
        <w:lang w:val="en-US"/>
      </w:rPr>
      <w:t>index@kerames.ru</w:t>
    </w:r>
    <w:r w:rsidRPr="00DF78DE">
      <w:rPr>
        <w:rFonts w:ascii="Times New Roman" w:hAnsi="Times New Roman"/>
        <w:color w:val="000080"/>
        <w:sz w:val="24"/>
        <w:szCs w:val="24"/>
        <w:lang w:val="en-US"/>
      </w:rPr>
      <w:br/>
    </w:r>
    <w:r w:rsidRPr="00DF78DE">
      <w:rPr>
        <w:rFonts w:ascii="Times New Roman" w:hAnsi="Times New Roman"/>
        <w:color w:val="000000"/>
        <w:sz w:val="24"/>
        <w:szCs w:val="24"/>
      </w:rPr>
      <w:t>Сайт</w:t>
    </w:r>
    <w:r w:rsidRPr="00DF78DE">
      <w:rPr>
        <w:rFonts w:ascii="Times New Roman" w:hAnsi="Times New Roman"/>
        <w:color w:val="000000"/>
        <w:sz w:val="24"/>
        <w:szCs w:val="24"/>
        <w:lang w:val="en-US"/>
      </w:rPr>
      <w:t xml:space="preserve">: </w:t>
    </w:r>
    <w:hyperlink r:id="rId2" w:history="1">
      <w:r w:rsidR="00DF78DE" w:rsidRPr="007D7266">
        <w:rPr>
          <w:rStyle w:val="affffc"/>
          <w:rFonts w:ascii="Times New Roman" w:hAnsi="Times New Roman"/>
          <w:sz w:val="24"/>
          <w:szCs w:val="24"/>
          <w:lang w:val="en-US"/>
        </w:rPr>
        <w:t>www.kerames.ru</w:t>
      </w:r>
    </w:hyperlink>
  </w:p>
  <w:p w:rsidR="00DF78DE" w:rsidRPr="002976C6" w:rsidRDefault="00DF78DE" w:rsidP="00DF78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6096"/>
        <w:tab w:val="right" w:pos="9355"/>
      </w:tabs>
      <w:spacing w:line="240" w:lineRule="auto"/>
      <w:ind w:left="7788"/>
      <w:jc w:val="right"/>
      <w:rPr>
        <w:rFonts w:ascii="Times New Roman" w:eastAsia="Calibri" w:hAnsi="Times New Roman"/>
        <w:color w:val="000000"/>
        <w:sz w:val="24"/>
        <w:szCs w:val="24"/>
      </w:rPr>
    </w:pPr>
    <w:hyperlink r:id="rId3" w:history="1">
      <w:r w:rsidRPr="002976C6">
        <w:rPr>
          <w:rStyle w:val="affffc"/>
          <w:rFonts w:ascii="Times New Roman" w:hAnsi="Times New Roman"/>
          <w:sz w:val="24"/>
          <w:szCs w:val="24"/>
          <w:lang w:val="en-US"/>
        </w:rPr>
        <w:t>www</w:t>
      </w:r>
      <w:r w:rsidRPr="002976C6">
        <w:rPr>
          <w:rStyle w:val="affffc"/>
          <w:rFonts w:ascii="Times New Roman" w:hAnsi="Times New Roman"/>
          <w:sz w:val="24"/>
          <w:szCs w:val="24"/>
        </w:rPr>
        <w:t>.</w:t>
      </w:r>
      <w:proofErr w:type="spellStart"/>
      <w:r w:rsidRPr="002976C6">
        <w:rPr>
          <w:rStyle w:val="affffc"/>
          <w:rFonts w:ascii="Times New Roman" w:eastAsia="Calibri" w:hAnsi="Times New Roman"/>
          <w:sz w:val="24"/>
          <w:szCs w:val="24"/>
          <w:lang w:val="en-US"/>
        </w:rPr>
        <w:t>gasblock</w:t>
      </w:r>
      <w:proofErr w:type="spellEnd"/>
      <w:r w:rsidRPr="002976C6">
        <w:rPr>
          <w:rStyle w:val="affffc"/>
          <w:rFonts w:ascii="Times New Roman" w:eastAsia="Calibri" w:hAnsi="Times New Roman"/>
          <w:sz w:val="24"/>
          <w:szCs w:val="24"/>
        </w:rPr>
        <w:t>.</w:t>
      </w:r>
      <w:proofErr w:type="spellStart"/>
      <w:r w:rsidRPr="002976C6">
        <w:rPr>
          <w:rStyle w:val="affffc"/>
          <w:rFonts w:ascii="Times New Roman" w:eastAsia="Calibri" w:hAnsi="Times New Roman"/>
          <w:sz w:val="24"/>
          <w:szCs w:val="24"/>
          <w:lang w:val="en-US"/>
        </w:rPr>
        <w:t>ru</w:t>
      </w:r>
      <w:proofErr w:type="spellEnd"/>
    </w:hyperlink>
    <w:r w:rsidRPr="002976C6">
      <w:rPr>
        <w:rFonts w:ascii="Times New Roman" w:eastAsia="Calibri" w:hAnsi="Times New Roman"/>
        <w:color w:val="000000"/>
        <w:sz w:val="24"/>
        <w:szCs w:val="24"/>
      </w:rPr>
      <w:t xml:space="preserve"> </w:t>
    </w:r>
    <w:r w:rsidRPr="002976C6">
      <w:rPr>
        <w:rFonts w:ascii="Times New Roman" w:eastAsia="Calibri" w:hAnsi="Times New Roman"/>
        <w:color w:val="000000"/>
        <w:sz w:val="24"/>
        <w:szCs w:val="24"/>
      </w:rPr>
      <w:t xml:space="preserve">                                                                                      </w:t>
    </w:r>
  </w:p>
  <w:p w:rsidR="00E438C0" w:rsidRPr="00DF78DE" w:rsidRDefault="00E438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C0"/>
    <w:rsid w:val="000D3EAB"/>
    <w:rsid w:val="00153F99"/>
    <w:rsid w:val="002543C2"/>
    <w:rsid w:val="002976C6"/>
    <w:rsid w:val="00BD05EC"/>
    <w:rsid w:val="00DF78DE"/>
    <w:rsid w:val="00E4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7DA8E-F09C-4AC0-8491-D24F24FF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17"/>
        <w:szCs w:val="17"/>
        <w:lang w:val="ru-RU" w:eastAsia="ru-RU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1C5"/>
    <w:rPr>
      <w:rFonts w:asciiTheme="minorHAnsi" w:eastAsia="Times New Roman" w:hAnsiTheme="minorHAnsi" w:cs="Times New Roman"/>
      <w:spacing w:val="4"/>
      <w:szCs w:val="18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Верхний колонтитул Знак"/>
    <w:basedOn w:val="a0"/>
    <w:uiPriority w:val="99"/>
    <w:qFormat/>
    <w:rsid w:val="00D9279F"/>
  </w:style>
  <w:style w:type="character" w:customStyle="1" w:styleId="a5">
    <w:name w:val="Нижний колонтитул Знак"/>
    <w:basedOn w:val="a0"/>
    <w:uiPriority w:val="99"/>
    <w:qFormat/>
    <w:rsid w:val="00D9279F"/>
  </w:style>
  <w:style w:type="character" w:customStyle="1" w:styleId="a6">
    <w:name w:val="Дата и номер (знак)"/>
    <w:basedOn w:val="a0"/>
    <w:uiPriority w:val="2"/>
    <w:qFormat/>
    <w:rsid w:val="001501C5"/>
    <w:rPr>
      <w:rFonts w:eastAsia="Times New Roman" w:cs="Times New Roman"/>
      <w:caps/>
      <w:spacing w:val="4"/>
      <w:sz w:val="16"/>
      <w:szCs w:val="16"/>
    </w:rPr>
  </w:style>
  <w:style w:type="character" w:customStyle="1" w:styleId="a7">
    <w:name w:val="Дата окончания срока действия (знак)"/>
    <w:basedOn w:val="a6"/>
    <w:uiPriority w:val="2"/>
    <w:qFormat/>
    <w:rsid w:val="001501C5"/>
    <w:rPr>
      <w:rFonts w:eastAsia="Times New Roman" w:cs="Times New Roman"/>
      <w:b/>
      <w:caps/>
      <w:spacing w:val="4"/>
      <w:sz w:val="16"/>
      <w:szCs w:val="16"/>
    </w:rPr>
  </w:style>
  <w:style w:type="character" w:customStyle="1" w:styleId="a8">
    <w:name w:val="Малый тип (знак)"/>
    <w:basedOn w:val="a0"/>
    <w:qFormat/>
    <w:rsid w:val="001501C5"/>
    <w:rPr>
      <w:rFonts w:eastAsia="Times New Roman" w:cs="Times New Roman"/>
      <w:spacing w:val="4"/>
      <w:sz w:val="15"/>
      <w:szCs w:val="18"/>
    </w:rPr>
  </w:style>
  <w:style w:type="character" w:customStyle="1" w:styleId="-">
    <w:name w:val="Интернет-ссылка"/>
    <w:basedOn w:val="a0"/>
    <w:uiPriority w:val="99"/>
    <w:semiHidden/>
    <w:unhideWhenUsed/>
    <w:rsid w:val="005C49E7"/>
    <w:rPr>
      <w:color w:val="0000FF"/>
      <w:u w:val="single"/>
    </w:rPr>
  </w:style>
  <w:style w:type="character" w:customStyle="1" w:styleId="a9">
    <w:name w:val="Символ нумерации"/>
    <w:qFormat/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D9279F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pacing w:val="0"/>
      <w:sz w:val="22"/>
      <w:szCs w:val="22"/>
    </w:rPr>
  </w:style>
  <w:style w:type="paragraph" w:styleId="af2">
    <w:name w:val="footer"/>
    <w:basedOn w:val="a"/>
    <w:uiPriority w:val="99"/>
    <w:unhideWhenUsed/>
    <w:rsid w:val="00D9279F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pacing w:val="0"/>
      <w:sz w:val="22"/>
      <w:szCs w:val="22"/>
    </w:rPr>
  </w:style>
  <w:style w:type="paragraph" w:customStyle="1" w:styleId="af3">
    <w:name w:val="Дата и номер"/>
    <w:basedOn w:val="a"/>
    <w:uiPriority w:val="2"/>
    <w:qFormat/>
    <w:rsid w:val="001501C5"/>
    <w:pPr>
      <w:jc w:val="right"/>
    </w:pPr>
    <w:rPr>
      <w:caps/>
      <w:sz w:val="16"/>
      <w:szCs w:val="16"/>
    </w:rPr>
  </w:style>
  <w:style w:type="paragraph" w:customStyle="1" w:styleId="af4">
    <w:name w:val="Имя"/>
    <w:basedOn w:val="a"/>
    <w:uiPriority w:val="1"/>
    <w:qFormat/>
    <w:rsid w:val="001501C5"/>
    <w:pPr>
      <w:spacing w:line="240" w:lineRule="auto"/>
    </w:pPr>
    <w:rPr>
      <w:b/>
      <w:sz w:val="24"/>
    </w:rPr>
  </w:style>
  <w:style w:type="paragraph" w:customStyle="1" w:styleId="af5">
    <w:name w:val="Слоган"/>
    <w:basedOn w:val="a"/>
    <w:qFormat/>
    <w:rsid w:val="001501C5"/>
    <w:pPr>
      <w:spacing w:before="60" w:line="240" w:lineRule="auto"/>
    </w:pPr>
    <w:rPr>
      <w:i/>
      <w:sz w:val="15"/>
    </w:rPr>
  </w:style>
  <w:style w:type="paragraph" w:customStyle="1" w:styleId="af6">
    <w:name w:val="Сумма"/>
    <w:basedOn w:val="a"/>
    <w:uiPriority w:val="2"/>
    <w:qFormat/>
    <w:rsid w:val="001501C5"/>
    <w:pPr>
      <w:jc w:val="right"/>
    </w:pPr>
    <w:rPr>
      <w:szCs w:val="20"/>
    </w:rPr>
  </w:style>
  <w:style w:type="paragraph" w:customStyle="1" w:styleId="af7">
    <w:name w:val="Спасибо"/>
    <w:basedOn w:val="a"/>
    <w:qFormat/>
    <w:rsid w:val="001501C5"/>
    <w:pPr>
      <w:jc w:val="center"/>
    </w:pPr>
    <w:rPr>
      <w:b/>
      <w:caps/>
      <w:sz w:val="19"/>
    </w:rPr>
  </w:style>
  <w:style w:type="paragraph" w:customStyle="1" w:styleId="af8">
    <w:name w:val="Заголовки столбцов"/>
    <w:basedOn w:val="a"/>
    <w:uiPriority w:val="2"/>
    <w:qFormat/>
    <w:rsid w:val="001501C5"/>
    <w:pPr>
      <w:jc w:val="center"/>
    </w:pPr>
    <w:rPr>
      <w:rFonts w:asciiTheme="majorHAnsi" w:hAnsiTheme="majorHAnsi"/>
      <w:b/>
      <w:caps/>
      <w:sz w:val="15"/>
    </w:rPr>
  </w:style>
  <w:style w:type="paragraph" w:customStyle="1" w:styleId="af9">
    <w:name w:val="Дата окончания срока действия"/>
    <w:basedOn w:val="af3"/>
    <w:uiPriority w:val="2"/>
    <w:qFormat/>
    <w:rsid w:val="001501C5"/>
    <w:rPr>
      <w:b/>
    </w:rPr>
  </w:style>
  <w:style w:type="paragraph" w:customStyle="1" w:styleId="afa">
    <w:name w:val="Малый тип"/>
    <w:basedOn w:val="a"/>
    <w:qFormat/>
    <w:rsid w:val="001501C5"/>
    <w:pPr>
      <w:tabs>
        <w:tab w:val="right" w:leader="underscore" w:pos="10080"/>
      </w:tabs>
    </w:pPr>
    <w:rPr>
      <w:sz w:val="15"/>
    </w:rPr>
  </w:style>
  <w:style w:type="paragraph" w:customStyle="1" w:styleId="afb">
    <w:name w:val="Содержимое таблицы"/>
    <w:basedOn w:val="a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styleId="afd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f1"/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</w:style>
  <w:style w:type="table" w:customStyle="1" w:styleId="aff">
    <w:basedOn w:val="TableNormalf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1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2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3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4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5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6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7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8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9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a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b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c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d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e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0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1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2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3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4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5">
    <w:basedOn w:val="TableNormalf1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paragraph" w:customStyle="1" w:styleId="Default">
    <w:name w:val="Default"/>
    <w:rsid w:val="00585F54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US"/>
    </w:rPr>
  </w:style>
  <w:style w:type="table" w:styleId="afff6">
    <w:name w:val="Table Grid"/>
    <w:basedOn w:val="a1"/>
    <w:uiPriority w:val="39"/>
    <w:rsid w:val="00585F54"/>
    <w:pPr>
      <w:spacing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7">
    <w:name w:val="Balloon Text"/>
    <w:basedOn w:val="a"/>
    <w:link w:val="afff8"/>
    <w:uiPriority w:val="99"/>
    <w:semiHidden/>
    <w:unhideWhenUsed/>
    <w:rsid w:val="00585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Текст выноски Знак"/>
    <w:basedOn w:val="a0"/>
    <w:link w:val="afff7"/>
    <w:uiPriority w:val="99"/>
    <w:semiHidden/>
    <w:rsid w:val="00585F54"/>
    <w:rPr>
      <w:rFonts w:ascii="Tahoma" w:eastAsia="Times New Roman" w:hAnsi="Tahoma" w:cs="Tahoma"/>
      <w:spacing w:val="4"/>
      <w:sz w:val="16"/>
      <w:szCs w:val="16"/>
      <w:lang w:eastAsia="en-US"/>
    </w:rPr>
  </w:style>
  <w:style w:type="paragraph" w:styleId="afff9">
    <w:name w:val="List Paragraph"/>
    <w:basedOn w:val="a"/>
    <w:uiPriority w:val="34"/>
    <w:qFormat/>
    <w:rsid w:val="0096253A"/>
    <w:pPr>
      <w:ind w:left="720"/>
      <w:contextualSpacing/>
    </w:pPr>
  </w:style>
  <w:style w:type="table" w:customStyle="1" w:styleId="afffa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d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e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0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1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2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3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4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5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6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7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8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9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a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table" w:customStyle="1" w:styleId="affffb">
    <w:basedOn w:val="TableNormal6"/>
    <w:pPr>
      <w:spacing w:line="240" w:lineRule="auto"/>
    </w:pPr>
    <w:rPr>
      <w:sz w:val="21"/>
      <w:szCs w:val="21"/>
    </w:rPr>
    <w:tblPr>
      <w:tblStyleRowBandSize w:val="1"/>
      <w:tblStyleColBandSize w:val="1"/>
      <w:tblCellMar>
        <w:top w:w="432" w:type="dxa"/>
        <w:left w:w="115" w:type="dxa"/>
        <w:right w:w="115" w:type="dxa"/>
      </w:tblCellMar>
    </w:tblPr>
  </w:style>
  <w:style w:type="character" w:styleId="affffc">
    <w:name w:val="Hyperlink"/>
    <w:basedOn w:val="a0"/>
    <w:uiPriority w:val="99"/>
    <w:unhideWhenUsed/>
    <w:rsid w:val="00DF7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sblock.ru" TargetMode="External"/><Relationship Id="rId2" Type="http://schemas.openxmlformats.org/officeDocument/2006/relationships/hyperlink" Target="http://www.kerames.ru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ModSeh6ovG2cK0mbNz19gSATA==">CgMxLjA4AHIhMTV0X1kwNGxYWnpRdVBCQ0xZUTdNNHczTVJpVjd4TGhz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ga</dc:creator>
  <cp:lastModifiedBy>Ольга</cp:lastModifiedBy>
  <cp:revision>3</cp:revision>
  <dcterms:created xsi:type="dcterms:W3CDTF">2024-01-26T09:37:00Z</dcterms:created>
  <dcterms:modified xsi:type="dcterms:W3CDTF">2024-01-26T09:38:00Z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