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575EC895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1E14ACDA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6BAD2B94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Pr="0068246C">
        <w:rPr>
          <w:rFonts w:ascii="Times New Roman" w:hAnsi="Times New Roman" w:cs="Times New Roman"/>
          <w:sz w:val="28"/>
          <w:szCs w:val="28"/>
        </w:rPr>
        <w:t xml:space="preserve"> система трёхмерного твердотельного параметрического моделирования, разработанная компанией Dassault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 xml:space="preserve">Kompas-3D изначально адаптирован под российские стандарты (ГОСТ, </w:t>
      </w:r>
      <w:commentRangeStart w:id="1"/>
      <w:r w:rsidRPr="0068246C">
        <w:rPr>
          <w:rFonts w:ascii="Times New Roman" w:hAnsi="Times New Roman" w:cs="Times New Roman"/>
          <w:sz w:val="28"/>
          <w:szCs w:val="28"/>
        </w:rPr>
        <w:t>ЕСКД).</w:t>
      </w:r>
      <w:commentRangeEnd w:id="1"/>
      <w:r w:rsidR="0038231E">
        <w:rPr>
          <w:rStyle w:val="af"/>
        </w:rPr>
        <w:commentReference w:id="1"/>
      </w:r>
    </w:p>
    <w:p w14:paraId="71C5BF87" w14:textId="6F662BDD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2. Autodesk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Pr="0068246C">
        <w:rPr>
          <w:rFonts w:ascii="Times New Roman" w:hAnsi="Times New Roman" w:cs="Times New Roman"/>
          <w:sz w:val="28"/>
          <w:szCs w:val="28"/>
        </w:rPr>
        <w:t xml:space="preserve">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</w:t>
      </w:r>
      <w:commentRangeStart w:id="2"/>
      <w:r w:rsidRPr="0068246C">
        <w:rPr>
          <w:rFonts w:ascii="Times New Roman" w:hAnsi="Times New Roman" w:cs="Times New Roman"/>
          <w:sz w:val="28"/>
          <w:szCs w:val="28"/>
        </w:rPr>
        <w:t>го процесса.</w:t>
      </w:r>
      <w:commentRangeEnd w:id="2"/>
      <w:r w:rsidR="0038231E">
        <w:rPr>
          <w:rStyle w:val="af"/>
        </w:rPr>
        <w:commentReference w:id="2"/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58DD5D16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0CAC" w:rsidRPr="00DA0CAC">
        <w:rPr>
          <w:rFonts w:ascii="Times New Roman" w:hAnsi="Times New Roman" w:cs="Times New Roman"/>
          <w:sz w:val="28"/>
          <w:szCs w:val="28"/>
        </w:rPr>
        <w:t xml:space="preserve"> –</w:t>
      </w:r>
      <w:r w:rsidRPr="00E30DF9">
        <w:rPr>
          <w:rFonts w:ascii="Times New Roman" w:hAnsi="Times New Roman" w:cs="Times New Roman"/>
          <w:sz w:val="28"/>
          <w:szCs w:val="28"/>
        </w:rPr>
        <w:t xml:space="preserve">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, используя либо метод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GetActiveObject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запущенному экземпляру КОМПАС-3D, либо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Activator.CreateInstance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запуска нового экземпляра приложения. После успешного подключения вы можете управлять видимостью главного окна через установку свойства </w:t>
      </w:r>
      <w:proofErr w:type="spellStart"/>
      <w:proofErr w:type="gramStart"/>
      <w:r w:rsidRPr="003A2BFF">
        <w:rPr>
          <w:rFonts w:ascii="Times New Roman" w:hAnsi="Times New Roman" w:cs="Times New Roman"/>
          <w:sz w:val="28"/>
          <w:szCs w:val="28"/>
        </w:rPr>
        <w:t>kompas.Visible</w:t>
      </w:r>
      <w:proofErr w:type="spellEnd"/>
      <w:proofErr w:type="gramEnd"/>
      <w:r w:rsidRPr="003A2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DA0CAC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DA0C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DA0CAC">
            <w:pPr>
              <w:pStyle w:val="ac"/>
              <w:spacing w:before="0" w:after="0"/>
              <w:jc w:val="left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211943089"/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3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commentRangeStart w:id="4"/>
      <w:r w:rsidRPr="00B43CC3">
        <w:rPr>
          <w:rFonts w:ascii="Times New Roman" w:hAnsi="Times New Roman" w:cs="Times New Roman"/>
          <w:sz w:val="28"/>
          <w:szCs w:val="28"/>
        </w:rPr>
        <w:t>и</w:t>
      </w:r>
      <w:commentRangeEnd w:id="4"/>
      <w:r w:rsidR="0038231E">
        <w:rPr>
          <w:rStyle w:val="af"/>
        </w:rPr>
        <w:commentReference w:id="4"/>
      </w:r>
      <w:r w:rsidRPr="00B43CC3">
        <w:rPr>
          <w:rFonts w:ascii="Times New Roman" w:hAnsi="Times New Roman" w:cs="Times New Roman"/>
          <w:sz w:val="28"/>
          <w:szCs w:val="28"/>
        </w:rPr>
        <w:t xml:space="preserve">спользуемые свойства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6202"/>
      </w:tblGrid>
      <w:tr w:rsidR="00B43CC3" w:rsidRPr="00B43CC3" w14:paraId="3B5A0F7F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15058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41EAF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DBB4D" w14:textId="67B42173" w:rsidR="00B43CC3" w:rsidRPr="00684D35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5"/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AC8" w:rsidRPr="00684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End w:id="5"/>
      <w:r w:rsidR="0038231E">
        <w:rPr>
          <w:rStyle w:val="af"/>
        </w:rPr>
        <w:commentReference w:id="5"/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1951"/>
        <w:gridCol w:w="3544"/>
        <w:gridCol w:w="4100"/>
      </w:tblGrid>
      <w:tr w:rsidR="001D0BE0" w:rsidRPr="00B43CC3" w14:paraId="68551994" w14:textId="77777777" w:rsidTr="0006671C">
        <w:trPr>
          <w:trHeight w:val="60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06671C">
        <w:trPr>
          <w:trHeight w:val="18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1951"/>
        <w:gridCol w:w="3544"/>
        <w:gridCol w:w="4127"/>
      </w:tblGrid>
      <w:tr w:rsidR="001D0BE0" w:rsidRPr="00B43CC3" w14:paraId="5FD17483" w14:textId="77777777" w:rsidTr="0006671C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06671C">
        <w:trPr>
          <w:trHeight w:val="170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06671C">
        <w:trPr>
          <w:trHeight w:val="16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9D6770" w:rsidRPr="00B43CC3" w14:paraId="0B4EF015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окружность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эскизе</w:t>
            </w:r>
            <w:proofErr w:type="spellEnd"/>
          </w:p>
        </w:tc>
      </w:tr>
      <w:tr w:rsidR="009D6770" w:rsidRPr="00B43CC3" w14:paraId="0103DE08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дугу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углам</w:t>
            </w:r>
            <w:proofErr w:type="spellEnd"/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6"/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38231E">
        <w:rPr>
          <w:rStyle w:val="af"/>
        </w:rPr>
        <w:commentReference w:id="6"/>
      </w:r>
      <w:r w:rsidRPr="00B43CC3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539"/>
        <w:gridCol w:w="2030"/>
        <w:gridCol w:w="2476"/>
      </w:tblGrid>
      <w:tr w:rsidR="009D6770" w:rsidRPr="00B43CC3" w14:paraId="5AA59A66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1B07BD4A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="00DA0CAC"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6FCFC5A4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="00DA0CAC"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434"/>
        <w:gridCol w:w="2030"/>
        <w:gridCol w:w="2439"/>
      </w:tblGrid>
      <w:tr w:rsidR="00B43CC3" w:rsidRPr="00B43CC3" w14:paraId="12751619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nit</w:t>
            </w:r>
            <w:proofErr w:type="spellEnd"/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830"/>
        <w:gridCol w:w="2030"/>
        <w:gridCol w:w="2476"/>
      </w:tblGrid>
      <w:tr w:rsidR="0025243F" w:rsidRPr="00B43CC3" w14:paraId="6EF42720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AF0B7B" w:rsidRPr="00B43CC3" w14:paraId="7220C030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выдавливания</w:t>
            </w:r>
            <w:proofErr w:type="spellEnd"/>
          </w:p>
        </w:tc>
      </w:tr>
      <w:tr w:rsidR="00AF0B7B" w:rsidRPr="00B43CC3" w14:paraId="68C0151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397"/>
        <w:gridCol w:w="2030"/>
        <w:gridCol w:w="2476"/>
      </w:tblGrid>
      <w:tr w:rsidR="00CB5B1F" w:rsidRPr="00B43CC3" w14:paraId="072936AC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75572F5C" w:rsidR="002000AA" w:rsidRPr="002000AA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B67341E" w:rsidR="002000AA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972"/>
        <w:gridCol w:w="2030"/>
        <w:gridCol w:w="2476"/>
      </w:tblGrid>
      <w:tr w:rsidR="002000AA" w:rsidRPr="00B43CC3" w14:paraId="475926E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7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6"/>
        <w:gridCol w:w="2405"/>
        <w:gridCol w:w="2316"/>
        <w:gridCol w:w="2334"/>
      </w:tblGrid>
      <w:tr w:rsidR="009806DB" w:rsidRPr="00B43CC3" w14:paraId="5D93FD3F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31814915" w:rsidR="009806DB" w:rsidRPr="009806DB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фаски</w:t>
            </w:r>
            <w:proofErr w:type="spellEnd"/>
          </w:p>
        </w:tc>
      </w:tr>
      <w:tr w:rsidR="009806DB" w:rsidRPr="00B43CC3" w14:paraId="2B72AD18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1"/>
        <w:gridCol w:w="2085"/>
        <w:gridCol w:w="2030"/>
        <w:gridCol w:w="3675"/>
      </w:tblGrid>
      <w:tr w:rsidR="00466244" w:rsidRPr="00B43CC3" w14:paraId="5345B77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15FF3A7D" w:rsidR="00466244" w:rsidRPr="009806DB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18C57A68" w:rsidR="00466244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commentRangeStart w:id="8"/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commentRangeEnd w:id="8"/>
      <w:r w:rsidR="0038231E">
        <w:rPr>
          <w:rStyle w:val="af"/>
        </w:rPr>
        <w:commentReference w:id="8"/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«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»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для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программы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FreeCAD</w:t>
      </w:r>
      <w:proofErr w:type="spellEnd"/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 xml:space="preserve">Пользовательский 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интерфейс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плагина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 xml:space="preserve"> «Fasteners»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954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95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571A5105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диаметр d (1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="00AD5B42" w:rsidRPr="00AD5B42">
        <w:rPr>
          <w:rFonts w:ascii="Times New Roman" w:hAnsi="Times New Roman" w:cs="Times New Roman"/>
          <w:sz w:val="28"/>
          <w:szCs w:val="28"/>
        </w:rPr>
        <w:t xml:space="preserve"> </w:t>
      </w:r>
      <w:r w:rsidRPr="009C1511">
        <w:rPr>
          <w:rFonts w:ascii="Times New Roman" w:hAnsi="Times New Roman" w:cs="Times New Roman"/>
          <w:sz w:val="28"/>
          <w:szCs w:val="28"/>
        </w:rPr>
        <w:t>80мм);</w:t>
      </w:r>
    </w:p>
    <w:p w14:paraId="41E39284" w14:textId="362EB69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рабочая часть l (3 × d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16 × d мм);</w:t>
      </w:r>
    </w:p>
    <w:p w14:paraId="52789C5B" w14:textId="0A012F8F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общая длина L (l + 20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205мм);</w:t>
      </w:r>
    </w:p>
    <w:p w14:paraId="7813370E" w14:textId="7AD44A35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</w:t>
      </w:r>
      <w:r w:rsidR="00AD5B42" w:rsidRPr="009C1511">
        <w:rPr>
          <w:rFonts w:ascii="Times New Roman" w:hAnsi="Times New Roman" w:cs="Times New Roman"/>
          <w:sz w:val="28"/>
          <w:szCs w:val="28"/>
        </w:rPr>
        <w:t>90</w:t>
      </w:r>
      <w:r w:rsidR="00AD5B42" w:rsidRPr="0038231E">
        <w:rPr>
          <w:rFonts w:ascii="Times New Roman" w:hAnsi="Times New Roman" w:cs="Times New Roman"/>
          <w:sz w:val="28"/>
          <w:szCs w:val="28"/>
        </w:rPr>
        <w:t xml:space="preserve"> </w:t>
      </w:r>
      <w:r w:rsidR="00AD5B42" w:rsidRPr="009C1511">
        <w:rPr>
          <w:rFonts w:ascii="Times New Roman" w:hAnsi="Times New Roman" w:cs="Times New Roman"/>
          <w:sz w:val="28"/>
          <w:szCs w:val="28"/>
        </w:rPr>
        <w:t>–</w:t>
      </w:r>
      <w:r w:rsidR="00AD5B42" w:rsidRPr="0038231E">
        <w:rPr>
          <w:rFonts w:ascii="Times New Roman" w:hAnsi="Times New Roman" w:cs="Times New Roman"/>
          <w:sz w:val="28"/>
          <w:szCs w:val="28"/>
        </w:rPr>
        <w:t xml:space="preserve"> </w:t>
      </w:r>
      <w:r w:rsidR="00AD5B42" w:rsidRPr="009C1511">
        <w:rPr>
          <w:rFonts w:ascii="Times New Roman" w:hAnsi="Times New Roman" w:cs="Times New Roman"/>
          <w:sz w:val="28"/>
          <w:szCs w:val="28"/>
        </w:rPr>
        <w:t>140°</w:t>
      </w:r>
      <w:r w:rsidRPr="009C1511">
        <w:rPr>
          <w:rFonts w:ascii="Times New Roman" w:hAnsi="Times New Roman" w:cs="Times New Roman"/>
          <w:sz w:val="28"/>
          <w:szCs w:val="28"/>
        </w:rPr>
        <w:t>);</w:t>
      </w:r>
    </w:p>
    <w:p w14:paraId="7F6C935D" w14:textId="48D6130A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наличие обратного конуса ("Да (0,05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2F31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F3178">
        <w:rPr>
          <w:rFonts w:ascii="Times New Roman" w:hAnsi="Times New Roman" w:cs="Times New Roman"/>
          <w:sz w:val="28"/>
          <w:szCs w:val="28"/>
        </w:rPr>
        <w:t xml:space="preserve">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5843BBAC" w:rsidR="00753185" w:rsidRPr="0038231E" w:rsidRDefault="00705AE8" w:rsidP="0039545D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00705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3A880" wp14:editId="7E5CE10A">
            <wp:extent cx="4600545" cy="5222240"/>
            <wp:effectExtent l="19050" t="19050" r="0" b="0"/>
            <wp:doc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898" cy="523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9"/>
      <w:r w:rsidR="0038231E">
        <w:rPr>
          <w:rStyle w:val="af"/>
        </w:rPr>
        <w:commentReference w:id="9"/>
      </w:r>
    </w:p>
    <w:p w14:paraId="241FE503" w14:textId="4C32338B" w:rsidR="00705AE8" w:rsidRPr="00DA0CAC" w:rsidRDefault="00753185" w:rsidP="00705AE8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1CA62263" w:rsidR="00FB6A41" w:rsidRPr="00FB6A41" w:rsidRDefault="00FB6A41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FB6A41" w:rsidRPr="00FB6A41" w14:paraId="2A1C539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7CF4D26D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4E31D090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6645212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totalLength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6D4BF2A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l + 20 </w:t>
            </w:r>
            <w:r w:rsidR="00AD5B4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205 мм</w:t>
            </w:r>
          </w:p>
        </w:tc>
      </w:tr>
      <w:tr w:rsidR="00FB6A41" w:rsidRPr="00FB6A41" w14:paraId="7242288D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5799C4F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4126B6A3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053962CF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163F7" w14:textId="14E23AE0" w:rsidR="00705AE8" w:rsidRPr="00FB6A41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705AE8" w:rsidRPr="00FB6A41" w14:paraId="6D266166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C85C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2BC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D15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5AE8" w:rsidRPr="00FB6A41" w14:paraId="64992AE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76D2" w14:textId="62CBA460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3E5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5B2A" w14:textId="0950544F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диаметр</w:t>
            </w:r>
          </w:p>
        </w:tc>
      </w:tr>
      <w:tr w:rsidR="00705AE8" w:rsidRPr="00FB6A41" w14:paraId="1DB66BB9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E4A9" w14:textId="356B7AA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08F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3F27" w14:textId="666AFB0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длину рабочей части</w:t>
            </w:r>
          </w:p>
        </w:tc>
      </w:tr>
      <w:tr w:rsidR="00705AE8" w:rsidRPr="00FB6A41" w14:paraId="656DF6C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66A7" w14:textId="381BF1B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TotalLength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1BB0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1510" w14:textId="363C9665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общую длину сверла</w:t>
            </w:r>
          </w:p>
        </w:tc>
      </w:tr>
      <w:tr w:rsidR="00705AE8" w:rsidRPr="00FB6A41" w14:paraId="582415E4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3230" w14:textId="4F2F696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0B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82AD" w14:textId="5238967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угол при вершине</w:t>
            </w:r>
          </w:p>
        </w:tc>
      </w:tr>
      <w:tr w:rsidR="00705AE8" w:rsidRPr="00FB6A41" w14:paraId="5A6C2408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AD28" w14:textId="50BE2F9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ClearanceCone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5D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3C5B" w14:textId="5C5A33F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наличие обратного конуса</w:t>
            </w:r>
          </w:p>
        </w:tc>
      </w:tr>
      <w:tr w:rsidR="00705AE8" w:rsidRPr="00FB6A41" w14:paraId="2523865D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30DC" w14:textId="15147802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2C42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ACA2" w14:textId="5E74B5AF" w:rsidR="00705AE8" w:rsidRPr="009D1FA5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значение обратного конуса</w:t>
            </w:r>
          </w:p>
        </w:tc>
      </w:tr>
    </w:tbl>
    <w:p w14:paraId="3B7CFE37" w14:textId="77777777" w:rsidR="00705AE8" w:rsidRP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573C9" w14:textId="77777777" w:rsidR="00705AE8" w:rsidRDefault="00705A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4BC92" w14:textId="249EF9C9" w:rsidR="008320DF" w:rsidRPr="009D1FA5" w:rsidRDefault="008320D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4E8B2A3F" w:rsidR="000A6143" w:rsidRPr="0039545D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1DAB3C" w14:textId="66CB7C80" w:rsidR="009D1FA5" w:rsidRPr="009D1FA5" w:rsidRDefault="009D1FA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9D1FA5" w:rsidRPr="00FB6A41" w14:paraId="5556A16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05905FA4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0EB1D226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5AE06953" w14:textId="77777777" w:rsidR="00684D35" w:rsidRPr="0039545D" w:rsidRDefault="00684D35" w:rsidP="009D1FA5">
      <w:pPr>
        <w:rPr>
          <w:rFonts w:ascii="Times New Roman" w:hAnsi="Times New Roman" w:cs="Times New Roman"/>
          <w:sz w:val="28"/>
          <w:szCs w:val="28"/>
        </w:rPr>
      </w:pPr>
    </w:p>
    <w:p w14:paraId="13919621" w14:textId="40F0B76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425"/>
        <w:gridCol w:w="2786"/>
        <w:gridCol w:w="4253"/>
      </w:tblGrid>
      <w:tr w:rsidR="009D1FA5" w:rsidRPr="00FB6A41" w14:paraId="55EB3B9D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BBC34B9" w:rsidR="009D1FA5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75E1C24D" w:rsidR="009D1FA5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35E103B5" w:rsidR="005836EC" w:rsidRPr="005836EC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6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842"/>
        <w:gridCol w:w="5954"/>
      </w:tblGrid>
      <w:tr w:rsidR="005836EC" w:rsidRPr="00FB6A41" w14:paraId="5F9448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56D7BECA" w:rsidR="005836EC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0F92FF23" w:rsidR="005836EC" w:rsidRPr="00224ECD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</w:tbl>
    <w:p w14:paraId="55DBAD3C" w14:textId="4FD32150" w:rsidR="000A6143" w:rsidRPr="00705AE8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705AE8" w:rsidRPr="00224ECD" w14:paraId="148FC2D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33E7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CreateBody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E0DC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DB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705AE8" w:rsidRPr="00224ECD" w14:paraId="4B6B0B9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C47C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CreateClearanceCone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ACDB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FEE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705AE8" w:rsidRPr="00224ECD" w14:paraId="65DDD55C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D26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CreateFlute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42D8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0B7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  <w:tr w:rsidR="00705AE8" w14:paraId="18DB2A9C" w14:textId="77777777" w:rsidTr="00737590">
        <w:trPr>
          <w:trHeight w:val="79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1C8B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A61D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610E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705AE8" w:rsidRPr="000A6143" w14:paraId="71130F0F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51F4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C8B7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4D5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38261298" w14:textId="77777777" w:rsid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4F6B09D5" w:rsidR="000A6143" w:rsidRPr="000A6143" w:rsidRDefault="000A614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Wrapper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809"/>
        <w:gridCol w:w="2127"/>
        <w:gridCol w:w="5528"/>
      </w:tblGrid>
      <w:tr w:rsidR="000A6143" w:rsidRPr="00FB6A41" w14:paraId="627D30A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DBF340F" w:rsidR="000A6143" w:rsidRPr="009D1FA5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1B3CF3C6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C60C1FC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Pr="0039545D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37D2B1AE" w:rsidR="00B1003F" w:rsidRPr="00427780" w:rsidRDefault="00B100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9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34BA89EC" w:rsidR="00B1003F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</w:t>
            </w:r>
            <w:proofErr w:type="spellStart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</w:tbl>
    <w:p w14:paraId="36068B32" w14:textId="1D3DA2E7" w:rsidR="00B1003F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AD3F18D" w14:textId="562624A5" w:rsidR="000B7127" w:rsidRPr="000B7127" w:rsidRDefault="000B7127" w:rsidP="000B71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4.9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B7127" w:rsidRPr="00224ECD" w14:paraId="07C7249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FDD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CreateCylinder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E9B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AAC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  <w:tr w:rsidR="000B7127" w:rsidRPr="00C632CC" w14:paraId="1B72D667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7F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2FC4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2562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0B7127" w:rsidRPr="00C632CC" w14:paraId="76619376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0EE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A73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647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0B7127" w:rsidRPr="00C632CC" w14:paraId="1CAD42A1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159F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310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F88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0B7127" w:rsidRPr="00C632CC" w14:paraId="11973D8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562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19A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1F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0B7127" w:rsidRPr="00C632CC" w14:paraId="2D980AED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1FE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E669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24B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4DE7A35" w14:textId="77777777" w:rsidR="000B7127" w:rsidRPr="00C632CC" w:rsidRDefault="000B712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33D6102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4D6CD4" w:rsidRPr="004D6CD4">
        <w:rPr>
          <w:rFonts w:ascii="Times New Roman" w:hAnsi="Times New Roman" w:cs="Times New Roman"/>
          <w:sz w:val="28"/>
          <w:szCs w:val="28"/>
        </w:rPr>
        <w:t>2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commentRangeStart w:id="10"/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  <w:commentRangeEnd w:id="10"/>
      <w:r w:rsidR="0038231E">
        <w:rPr>
          <w:rStyle w:val="af"/>
        </w:rPr>
        <w:commentReference w:id="10"/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276E7CA1" w14:textId="54AFFA56" w:rsidR="00BE5886" w:rsidRPr="00BE5886" w:rsidRDefault="00B57049" w:rsidP="00BE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7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91FCC" wp14:editId="19922EF4">
            <wp:extent cx="4324350" cy="3228975"/>
            <wp:effectExtent l="19050" t="19050" r="0" b="9525"/>
            <wp:docPr id="9026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90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322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38CF57BA" w:rsidR="006143D9" w:rsidRDefault="006143D9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D6CD4" w:rsidRPr="00DA0C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6383FCB8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r w:rsidR="00EA2C3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commentRangeEnd w:id="11"/>
      <w:r w:rsidR="00063063">
        <w:rPr>
          <w:rStyle w:val="af"/>
        </w:rPr>
        <w:commentReference w:id="11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7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8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421634F6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 w:rsidR="00E611FE"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Kalentyev Alexey" w:date="2025-10-28T11:22:00Z" w:initials="KA">
    <w:p w14:paraId="6A41D42B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Источники.</w:t>
      </w:r>
    </w:p>
  </w:comment>
  <w:comment w:id="2" w:author="Kalentyev Alexey" w:date="2025-10-28T11:22:00Z" w:initials="KA">
    <w:p w14:paraId="6DA99B49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Источники.</w:t>
      </w:r>
    </w:p>
  </w:comment>
  <w:comment w:id="4" w:author="Kalentyev Alexey" w:date="2025-10-28T11:23:00Z" w:initials="KA">
    <w:p w14:paraId="4E66847C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?</w:t>
      </w:r>
    </w:p>
  </w:comment>
  <w:comment w:id="5" w:author="Kalentyev Alexey" w:date="2025-10-28T11:22:00Z" w:initials="KA">
    <w:p w14:paraId="0EDD4813" w14:textId="41AC795B" w:rsidR="0038231E" w:rsidRDefault="0038231E" w:rsidP="0038231E">
      <w:pPr>
        <w:pStyle w:val="af0"/>
      </w:pPr>
      <w:r>
        <w:rPr>
          <w:rStyle w:val="af"/>
        </w:rPr>
        <w:annotationRef/>
      </w:r>
      <w:r>
        <w:t>?</w:t>
      </w:r>
    </w:p>
  </w:comment>
  <w:comment w:id="6" w:author="Kalentyev Alexey" w:date="2025-10-28T11:23:00Z" w:initials="KA">
    <w:p w14:paraId="10B86C6E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Как будто влазит на предыдущую страницу.</w:t>
      </w:r>
    </w:p>
  </w:comment>
  <w:comment w:id="8" w:author="Kalentyev Alexey" w:date="2025-10-28T11:24:00Z" w:initials="KA">
    <w:p w14:paraId="06EBE64F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Так плохо работает?</w:t>
      </w:r>
    </w:p>
  </w:comment>
  <w:comment w:id="9" w:author="Kalentyev Alexey" w:date="2025-10-28T11:29:00Z" w:initials="KA">
    <w:p w14:paraId="77D29A1B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MainForm - CalculateDepended() - размывание ответственности с Parameters</w:t>
      </w:r>
    </w:p>
    <w:p w14:paraId="656EFF35" w14:textId="77777777" w:rsidR="0038231E" w:rsidRDefault="0038231E" w:rsidP="0038231E">
      <w:pPr>
        <w:pStyle w:val="af0"/>
      </w:pPr>
      <w:r>
        <w:t>Parameters - Validate на паблик</w:t>
      </w:r>
    </w:p>
    <w:p w14:paraId="6E4188C4" w14:textId="77777777" w:rsidR="0038231E" w:rsidRDefault="0038231E" w:rsidP="0038231E">
      <w:pPr>
        <w:pStyle w:val="af0"/>
      </w:pPr>
      <w:r>
        <w:t>Builder - CreateClearanceCone - публичный?</w:t>
      </w:r>
    </w:p>
    <w:p w14:paraId="60BEF483" w14:textId="77777777" w:rsidR="0038231E" w:rsidRDefault="0038231E" w:rsidP="0038231E">
      <w:pPr>
        <w:pStyle w:val="af0"/>
      </w:pPr>
      <w:r>
        <w:t>Builder-Wrapper - связь?</w:t>
      </w:r>
    </w:p>
  </w:comment>
  <w:comment w:id="10" w:author="Kalentyev Alexey" w:date="2025-10-28T11:31:00Z" w:initials="KA">
    <w:p w14:paraId="0F646A00" w14:textId="77777777" w:rsidR="0038231E" w:rsidRDefault="0038231E" w:rsidP="0038231E">
      <w:pPr>
        <w:pStyle w:val="af0"/>
      </w:pPr>
      <w:r>
        <w:rPr>
          <w:rStyle w:val="af"/>
        </w:rPr>
        <w:annotationRef/>
      </w:r>
      <w:r>
        <w:t>Сделать чекбокс, перерисовать форму</w:t>
      </w:r>
    </w:p>
  </w:comment>
  <w:comment w:id="11" w:author="Kalentyev Alexey" w:date="2025-10-28T11:31:00Z" w:initials="KA">
    <w:p w14:paraId="13725EA8" w14:textId="77777777" w:rsidR="00063063" w:rsidRDefault="00063063" w:rsidP="00063063">
      <w:pPr>
        <w:pStyle w:val="af0"/>
      </w:pPr>
      <w:r>
        <w:rPr>
          <w:rStyle w:val="af"/>
        </w:rPr>
        <w:annotationRef/>
      </w:r>
      <w:r>
        <w:t>Нужны макеты с визуализацией.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41D42B" w15:done="0"/>
  <w15:commentEx w15:paraId="6DA99B49" w15:done="0"/>
  <w15:commentEx w15:paraId="4E66847C" w15:done="0"/>
  <w15:commentEx w15:paraId="0EDD4813" w15:done="0"/>
  <w15:commentEx w15:paraId="10B86C6E" w15:done="0"/>
  <w15:commentEx w15:paraId="06EBE64F" w15:done="0"/>
  <w15:commentEx w15:paraId="60BEF483" w15:done="0"/>
  <w15:commentEx w15:paraId="0F646A00" w15:done="0"/>
  <w15:commentEx w15:paraId="13725E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6B61F07" w16cex:dateUtc="2025-10-28T04:22:00Z"/>
  <w16cex:commentExtensible w16cex:durableId="253D2BF1" w16cex:dateUtc="2025-10-28T04:22:00Z"/>
  <w16cex:commentExtensible w16cex:durableId="792BFF21" w16cex:dateUtc="2025-10-28T04:23:00Z"/>
  <w16cex:commentExtensible w16cex:durableId="4E792B71" w16cex:dateUtc="2025-10-28T04:22:00Z"/>
  <w16cex:commentExtensible w16cex:durableId="48C4C9C1" w16cex:dateUtc="2025-10-28T04:23:00Z"/>
  <w16cex:commentExtensible w16cex:durableId="0AAD7C32" w16cex:dateUtc="2025-10-28T04:24:00Z"/>
  <w16cex:commentExtensible w16cex:durableId="387DCFA3" w16cex:dateUtc="2025-10-28T04:29:00Z"/>
  <w16cex:commentExtensible w16cex:durableId="38401E7E" w16cex:dateUtc="2025-10-28T04:31:00Z"/>
  <w16cex:commentExtensible w16cex:durableId="54EDAF44" w16cex:dateUtc="2025-10-28T0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41D42B" w16cid:durableId="56B61F07"/>
  <w16cid:commentId w16cid:paraId="6DA99B49" w16cid:durableId="253D2BF1"/>
  <w16cid:commentId w16cid:paraId="4E66847C" w16cid:durableId="792BFF21"/>
  <w16cid:commentId w16cid:paraId="0EDD4813" w16cid:durableId="4E792B71"/>
  <w16cid:commentId w16cid:paraId="10B86C6E" w16cid:durableId="48C4C9C1"/>
  <w16cid:commentId w16cid:paraId="06EBE64F" w16cid:durableId="0AAD7C32"/>
  <w16cid:commentId w16cid:paraId="60BEF483" w16cid:durableId="387DCFA3"/>
  <w16cid:commentId w16cid:paraId="0F646A00" w16cid:durableId="38401E7E"/>
  <w16cid:commentId w16cid:paraId="13725EA8" w16cid:durableId="54EDAF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DDAF3" w14:textId="77777777" w:rsidR="00DB1DE5" w:rsidRDefault="00DB1DE5" w:rsidP="00CD501B">
      <w:pPr>
        <w:spacing w:after="0" w:line="240" w:lineRule="auto"/>
      </w:pPr>
      <w:r>
        <w:separator/>
      </w:r>
    </w:p>
  </w:endnote>
  <w:endnote w:type="continuationSeparator" w:id="0">
    <w:p w14:paraId="7C1B83B5" w14:textId="77777777" w:rsidR="00DB1DE5" w:rsidRDefault="00DB1DE5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97014" w14:textId="77777777" w:rsidR="00DB1DE5" w:rsidRDefault="00DB1DE5" w:rsidP="00CD501B">
      <w:pPr>
        <w:spacing w:after="0" w:line="240" w:lineRule="auto"/>
      </w:pPr>
      <w:r>
        <w:separator/>
      </w:r>
    </w:p>
  </w:footnote>
  <w:footnote w:type="continuationSeparator" w:id="0">
    <w:p w14:paraId="527BF971" w14:textId="77777777" w:rsidR="00DB1DE5" w:rsidRDefault="00DB1DE5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63063"/>
    <w:rsid w:val="0006671C"/>
    <w:rsid w:val="0007774E"/>
    <w:rsid w:val="0008179E"/>
    <w:rsid w:val="0009387B"/>
    <w:rsid w:val="0009680B"/>
    <w:rsid w:val="000A6143"/>
    <w:rsid w:val="000B2CE7"/>
    <w:rsid w:val="000B7127"/>
    <w:rsid w:val="000F1E71"/>
    <w:rsid w:val="00102F2B"/>
    <w:rsid w:val="00125DA0"/>
    <w:rsid w:val="001342D4"/>
    <w:rsid w:val="00152D4B"/>
    <w:rsid w:val="00160FCB"/>
    <w:rsid w:val="0017257D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03597"/>
    <w:rsid w:val="003102D5"/>
    <w:rsid w:val="00317EEC"/>
    <w:rsid w:val="00345C23"/>
    <w:rsid w:val="00354F08"/>
    <w:rsid w:val="00380258"/>
    <w:rsid w:val="0038231E"/>
    <w:rsid w:val="00382575"/>
    <w:rsid w:val="00387D71"/>
    <w:rsid w:val="0039545D"/>
    <w:rsid w:val="003A2BFF"/>
    <w:rsid w:val="003A448F"/>
    <w:rsid w:val="003C7912"/>
    <w:rsid w:val="003E5972"/>
    <w:rsid w:val="003F55AF"/>
    <w:rsid w:val="00427780"/>
    <w:rsid w:val="00454191"/>
    <w:rsid w:val="00463EBB"/>
    <w:rsid w:val="00466244"/>
    <w:rsid w:val="00485A26"/>
    <w:rsid w:val="00491CEA"/>
    <w:rsid w:val="0049581A"/>
    <w:rsid w:val="004A2992"/>
    <w:rsid w:val="004C1A90"/>
    <w:rsid w:val="004C1B8F"/>
    <w:rsid w:val="004C7679"/>
    <w:rsid w:val="004D6CD4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74B48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17642"/>
    <w:rsid w:val="0064238B"/>
    <w:rsid w:val="0064253A"/>
    <w:rsid w:val="00663E00"/>
    <w:rsid w:val="00664534"/>
    <w:rsid w:val="00667142"/>
    <w:rsid w:val="00676F44"/>
    <w:rsid w:val="0068246C"/>
    <w:rsid w:val="00684D35"/>
    <w:rsid w:val="00695E88"/>
    <w:rsid w:val="006B2E95"/>
    <w:rsid w:val="006D35AD"/>
    <w:rsid w:val="006E5D34"/>
    <w:rsid w:val="006F333D"/>
    <w:rsid w:val="00705AE8"/>
    <w:rsid w:val="00707B06"/>
    <w:rsid w:val="00712D7F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44419"/>
    <w:rsid w:val="0097386D"/>
    <w:rsid w:val="0097793F"/>
    <w:rsid w:val="009806DB"/>
    <w:rsid w:val="009B51C1"/>
    <w:rsid w:val="009C1511"/>
    <w:rsid w:val="009D1FA5"/>
    <w:rsid w:val="009D4146"/>
    <w:rsid w:val="009D6770"/>
    <w:rsid w:val="009E6E3E"/>
    <w:rsid w:val="00A22735"/>
    <w:rsid w:val="00A235C6"/>
    <w:rsid w:val="00A717C1"/>
    <w:rsid w:val="00A73F04"/>
    <w:rsid w:val="00A8124C"/>
    <w:rsid w:val="00A879A0"/>
    <w:rsid w:val="00AC00DA"/>
    <w:rsid w:val="00AD12E6"/>
    <w:rsid w:val="00AD5B42"/>
    <w:rsid w:val="00AE0187"/>
    <w:rsid w:val="00AF0B7B"/>
    <w:rsid w:val="00AF6012"/>
    <w:rsid w:val="00B1003F"/>
    <w:rsid w:val="00B128BB"/>
    <w:rsid w:val="00B2590A"/>
    <w:rsid w:val="00B350D4"/>
    <w:rsid w:val="00B43CC3"/>
    <w:rsid w:val="00B57049"/>
    <w:rsid w:val="00B72AAA"/>
    <w:rsid w:val="00B74B18"/>
    <w:rsid w:val="00BC260A"/>
    <w:rsid w:val="00BE5886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0CAC"/>
    <w:rsid w:val="00DA475F"/>
    <w:rsid w:val="00DB1DE5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611FE"/>
    <w:rsid w:val="00E97002"/>
    <w:rsid w:val="00EA2C3C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38231E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3823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3823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23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23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20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Kalentyev Alexey</cp:lastModifiedBy>
  <cp:revision>91</cp:revision>
  <cp:lastPrinted>2025-04-21T13:48:00Z</cp:lastPrinted>
  <dcterms:created xsi:type="dcterms:W3CDTF">2024-10-02T13:58:00Z</dcterms:created>
  <dcterms:modified xsi:type="dcterms:W3CDTF">2025-10-28T04:31:00Z</dcterms:modified>
</cp:coreProperties>
</file>