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2DE4D" w14:textId="77777777" w:rsidR="00571C8E" w:rsidRPr="00571C8E" w:rsidRDefault="00571C8E" w:rsidP="00734670">
      <w:pPr>
        <w:spacing w:after="120"/>
        <w:rPr>
          <w:rFonts w:ascii="Roboto Slab" w:hAnsi="Roboto Slab"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t>Гордая Гвинея</w:t>
      </w:r>
    </w:p>
    <w:p w14:paraId="4E86F941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Гордая Гвинея — уникальный регион, который следует собственному пути развития, предпочитая сохранять экономическую и культурную самодостаточность. Страна принципиально отказалась от участия в международной торговле и крупных инфраструктурных проектах, считая внутренние ресурсы достаточными для поддержания стабильности.</w:t>
      </w:r>
    </w:p>
    <w:p w14:paraId="2B14FED1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На территории Гордой Гвинеи отсутствуют железнодорожные линии: руководство страны придерживается концепции "естественного передвижения", активно поддерживая развитие традиционных способов транспорта. Это решение объясняется необходимостью сохранения экологического баланса и национального колорита.</w:t>
      </w:r>
    </w:p>
    <w:p w14:paraId="5F806759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Экономика региона ориентирована на внутреннее потребление, а внешнеполитический курс характеризуется как "стратегическое невмешательство". Согласно официальным данным, торговые соглашения с другими странами рассматриваются не ранее, чем через несколько десятилетий успешной практики полной независимости.</w:t>
      </w:r>
    </w:p>
    <w:p w14:paraId="5C09AFDA" w14:textId="68E36B5E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Население Гордой Гвинеи славится высоким уровнем гражданского самосознания и искренней приверженностью идеям самостоятельности. Культурная жизнь активно поддерживается за счёт традиционных ремёсел, философских диспутов и праздников независимости, которые отмечаются несколько раз в году с особым размахом.</w:t>
      </w:r>
    </w:p>
    <w:p w14:paraId="779AE8FC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36AD083F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Северная Гвинея</w:t>
      </w:r>
    </w:p>
    <w:p w14:paraId="27221B80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4, 6, 8, 9, 10</w:t>
      </w:r>
    </w:p>
    <w:p w14:paraId="6285C355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Северная Гвинея — один из наиболее промышленных регионов континента. Средняя плотность населения составляет около восьми человек на квадратный километр, причём официальная статистика учитывает также кочевые поселения в горных районах. Здесь активно развиваются машиностроение и добывающие отрасли. В северо-западной части страны запущены программы стимулирования производственного сектора, а в ряде районов ведётся освоение новых ресурсных зон — включая уголь и перспективные материалы, интерес к которым в последнее время заметно возрос.</w:t>
      </w:r>
    </w:p>
    <w:p w14:paraId="40A378CF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Сложная география региона (горы, побережье) и высокий уровень сезонных рисков создают дополнительные требования к транспортной инфраструктуре. Законодательная власть в Северной Гвинее представлена Национальным Конвентом, члены которого избираются раз в пять лет, а заседания нередко прерываются по техническим причинам, связанным с погодой. Тем не менее, при грамотном планировании Северная Гвинея может стать важным узлом железнодорожной сети — особенно в условиях растущего спроса на промышленные грузы.</w:t>
      </w:r>
    </w:p>
    <w:p w14:paraId="5A5E6A60" w14:textId="73FA1AA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</w:t>
      </w:r>
      <w:r w:rsidRPr="00571C8E">
        <w:rPr>
          <w:rFonts w:ascii="Roboto Slab" w:hAnsi="Roboto Slab"/>
          <w:b/>
          <w:bCs/>
          <w:sz w:val="26"/>
          <w:szCs w:val="26"/>
        </w:rPr>
        <w:t xml:space="preserve"> 408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680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25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13 заказов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 Ежегодный Фестиваль Дальних Переездов, традиционно проходящий в начале ледохода, собирает участников со всего континента, невзирая на логистические трудности.</w:t>
      </w:r>
    </w:p>
    <w:p w14:paraId="7323C228" w14:textId="0CE384C7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Местные условия требуют внимательности: ландшафт сложен, климат — капризен, а в некоторых районах лоси участвуют в экономике опосредованно, но последовательно. Северная Гвинея сохраняет уникальные элементы традиционной архитектуры — в ряде деревень до сих пор строят дома с паровыми отопительными башнями. Тем не менее, Северная Гвинея остаётся привлекательной территорией для устойчивых и дальновидных инвестиций.</w:t>
      </w:r>
    </w:p>
    <w:p w14:paraId="0F696D2F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4EE26C87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Белая Гвинея</w:t>
      </w:r>
    </w:p>
    <w:p w14:paraId="5F6A5680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5, 7</w:t>
      </w:r>
    </w:p>
    <w:p w14:paraId="0D855614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Белая Гвинея — аграрный регион с акцентом на развитие внутренней логистики. Средняя плотность населения здесь одна из самых высоких на континенте, что обусловлено мягким климатом и плодородием долин. В последние годы аграрный сектор демонстрирует устойчивый рост, а особенно успешно развиваются культуры, требующие минимальной механизации.</w:t>
      </w:r>
    </w:p>
    <w:p w14:paraId="4F43EE1E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Политическая обстановка в регионе остаётся напряжённой: в отношениях с соседней Левой Гвинеей наблюдаются регулярные осложнения, влияющие на доступ к стратегическим водным путям. Тем не менее, основные экономические показатели Белой Гвинеи сохраняются на стабильном уровне.</w:t>
      </w:r>
    </w:p>
    <w:p w14:paraId="7C12DF38" w14:textId="37DA501B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130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240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10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4 заказа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7B0A5DE1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География региона преимущественно равнинная, однако побережье подвержено сезонным подтоплениям, что в ряде случаев требует дополнительного страхования перевозок. Ряд крупных сельскохозяйственных ярмарок ежегодно собирает фермеров со всего континента, задавая тон в определении цен на основные продовольственные товары.</w:t>
      </w:r>
    </w:p>
    <w:p w14:paraId="57C0685D" w14:textId="79A8E261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Белая Гвинея гордится своим культурным наследием: здесь сохранилась редкая традиция кулинарных фестивалей, где особое место занимает картофель в десятках вариаций. В некоторых районах продолжают использовать древние ирригационные системы, модернизированные с применением современных технологий.</w:t>
      </w:r>
    </w:p>
    <w:p w14:paraId="5F01A589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79C5EAD4" w14:textId="7B6CA804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Центральная Гвинея</w:t>
      </w:r>
    </w:p>
    <w:p w14:paraId="38CEAFB1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1, 2</w:t>
      </w:r>
    </w:p>
    <w:p w14:paraId="6C36E9B2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Центральная Гвинея — промышленный регион, где добыча угля и тяжёлых материалов традиционно играет ключевую роль в экономике. Средняя плотность населения здесь сравнительно низкая, за исключением шахтерских посёлков, выросших вдоль старых промышленных трасс. Разработка месторождений ведётся уже несколько десятилетий, однако в последние годы стали заметны первые признаки перегрузки инфраструктуры и накопления добытого сырья.</w:t>
      </w:r>
    </w:p>
    <w:p w14:paraId="11B04E0C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Социальная обстановка в регионе требует особого внимания: в некоторых промышленных зонах фиксируются локальные трудовые споры и требования пересмотра условий труда. Тем не менее, Центральная Гвинея сохраняет значение важного сырьевого поставщика для других частей континента.</w:t>
      </w:r>
    </w:p>
    <w:p w14:paraId="33AEE9EB" w14:textId="25BD8126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175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10 штук</w:t>
      </w:r>
      <w:r w:rsidRPr="00571C8E">
        <w:rPr>
          <w:rFonts w:ascii="Roboto Slab" w:hAnsi="Roboto Slab"/>
          <w:sz w:val="26"/>
          <w:szCs w:val="26"/>
        </w:rPr>
        <w:t>.</w:t>
      </w:r>
    </w:p>
    <w:p w14:paraId="5850A1C1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Территория региона представляет собой чередование равнин, отработанных шахт и небольших лесных массивов. В некоторых районах местная фауна оказывает заметное влияние на логистику: в частности, лоси нередко становятся непредвиденным фактором при планировании маршрутов.</w:t>
      </w:r>
    </w:p>
    <w:p w14:paraId="285A4A99" w14:textId="45A7E460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Центральная Гвинея славится своими горнопромышленными фестивалями, проходящими на заброшенных шахтах и сопровождаемыми конкурсами среди старых проходческих бригад. Административное управление здесь отличается консервативностью: многие решения принимаются традиционными горными советами, чьи протоколы хранятся в бумажных архивах под грифом «особо важные».</w:t>
      </w:r>
    </w:p>
    <w:p w14:paraId="54F1137C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503B734D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Южная Гвинея Роршаха</w:t>
      </w:r>
    </w:p>
    <w:p w14:paraId="13C31F0D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3, 11, 12, 22, 23</w:t>
      </w:r>
    </w:p>
    <w:p w14:paraId="3F8AF38A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Южная Гвинея Роршаха — один из наиболее быстро развивающихся регионов континента. Местная экономика демонстрирует устойчивый рост за счёт сочетания традиционной добычи полезных ископаемых и активного развития мелкого предпринимательства. Сектор ручного производства, в особенности текстиля и изделий из металла, укрепил свои позиции на внешних рынках.</w:t>
      </w:r>
    </w:p>
    <w:p w14:paraId="50ADC95A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Государство активно инвестирует в модернизацию железнодорожной инфраструктуры, рассматривая транспорт как основной драйвер дальнейшего экономического роста. Согласно последним данным, в районе терминала 22 наблюдается существенное увеличение объёмов перевалки сыпучих грузов.</w:t>
      </w:r>
    </w:p>
    <w:p w14:paraId="361261D4" w14:textId="76BCDF74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427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932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24</w:t>
      </w:r>
      <w:r w:rsidRPr="00571C8E">
        <w:rPr>
          <w:rFonts w:ascii="Roboto Slab" w:hAnsi="Roboto Slab"/>
          <w:sz w:val="26"/>
          <w:szCs w:val="26"/>
        </w:rPr>
        <w:t>, с потенциалом увеличения ещё на</w:t>
      </w:r>
      <w:r w:rsidRPr="00571C8E">
        <w:rPr>
          <w:rFonts w:ascii="Roboto Slab" w:hAnsi="Roboto Slab"/>
          <w:b/>
          <w:bCs/>
          <w:sz w:val="26"/>
          <w:szCs w:val="26"/>
        </w:rPr>
        <w:t xml:space="preserve"> 20 заказов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 Внутренний рынок демонстрирует значительное оживление благодаря укреплению торговых связей с Левой Гвинеей.</w:t>
      </w:r>
    </w:p>
    <w:p w14:paraId="7A3FDD93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Гористый рельеф региона создаёт определённые сложности для железнодорожного строительства: в отдельных районах фиксируются случаи сезонных селей. В некоторых низинах высока популяция комаров, что требует от пассажиров и грузоперевозчиков дополнительной подготовки в тёплое время года.</w:t>
      </w:r>
    </w:p>
    <w:p w14:paraId="7F244F41" w14:textId="28CE1EAE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Согласно действующему политическому устройству, Южная Гвинея Роршаха управляется Национальным Советом Согласия, чьи заседания иногда совпадают с международными визитами, временно влияя на транспортную доступность столицы. Городские власти активно продвигают идею фестиваля ручной работы как новой экономической витрины региона, ставя на первое место местные традиции ремесленного мастерства.</w:t>
      </w:r>
    </w:p>
    <w:p w14:paraId="067BB5D5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628EB37C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Левая Гвинея</w:t>
      </w:r>
    </w:p>
    <w:p w14:paraId="17888CBE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20, 21</w:t>
      </w:r>
    </w:p>
    <w:p w14:paraId="6C8C0FB1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Левая Гвинея — регион с быстроразвивающейся экономикой, где рост промышленных и энергетических секторов сочетается с активной внешней политикой. На фоне стабилизации объёмов внутренней торговли особенно заметен рост товарооборота с Южной Гвинеей Роршаха, что позитивно отражается на экономических показателях региона.</w:t>
      </w:r>
    </w:p>
    <w:p w14:paraId="5442DBC1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Внутренняя ценовая динамика остаётся напряжённой: повышение стоимости топлива оказывает влияние на себестоимость перевозок и производства. Местные экономисты называют происходящее «переходным этапом к устойчивой модели развития».</w:t>
      </w:r>
    </w:p>
    <w:p w14:paraId="23F56F08" w14:textId="0033DA09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184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404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9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8 заказов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19B1394F" w14:textId="3CEF53C7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Транспортная инфраструктура активно модернизируется, хотя некоторые инициативы вызывают обеспокоенность у соседних стран. Так, обсуждение возможных ограничений на передвижение по Ленунецкому каналу уже стало темой дипломатических консультаций.</w:t>
      </w:r>
    </w:p>
    <w:p w14:paraId="446DBD67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252F8AEE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Нижняя Гвинея</w:t>
      </w:r>
    </w:p>
    <w:p w14:paraId="2BF19A50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13, 17</w:t>
      </w:r>
    </w:p>
    <w:p w14:paraId="6EB9BE56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Нижняя Гвинея — промышленно ориентированный регион, активно вовлечённый в международное экономическое сотрудничество. В последние годы здесь наблюдается заметный рост металлургического сектора, чему способствовало укрепление партнёрских отношений с соседними странами. На фоне этого развития государство инвестирует в расширение железнодорожной сети, совместно реализуя инфраструктурные проекты с зарубежными компаниями.</w:t>
      </w:r>
    </w:p>
    <w:p w14:paraId="66C7C9D3" w14:textId="40265A2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1</w:t>
      </w:r>
      <w:r w:rsidR="00AD78E2">
        <w:rPr>
          <w:rFonts w:ascii="Roboto Slab" w:hAnsi="Roboto Slab"/>
          <w:b/>
          <w:bCs/>
          <w:sz w:val="26"/>
          <w:szCs w:val="26"/>
        </w:rPr>
        <w:t>66</w:t>
      </w:r>
      <w:r w:rsidRPr="00571C8E">
        <w:rPr>
          <w:rFonts w:ascii="Roboto Slab" w:hAnsi="Roboto Slab"/>
          <w:b/>
          <w:bCs/>
          <w:sz w:val="26"/>
          <w:szCs w:val="26"/>
        </w:rPr>
        <w:t xml:space="preserve">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266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11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4 заказа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199682BD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Несмотря на положительную динамику в промышленности, вопросы безопасности остаются предметом внимания. В отдельных районах фиксируются локальные инциденты, что требует дополнительных мер предосторожности для развития транспортных проектов.</w:t>
      </w:r>
    </w:p>
    <w:p w14:paraId="3E225365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Географически регион преимущественно равнинный, с незначительными колебаниями высот, что упрощает строительство железнодорожных линий - но не его удешевление. Внутренние политические дебаты о стратегии внешнеэкономического развития сопровождаются периодическим обострением отношений с рядом партнёров, в частности с Ультраправой Гвинеей.</w:t>
      </w:r>
    </w:p>
    <w:p w14:paraId="45E60F26" w14:textId="59D81076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Численность населения региона остаётся стабильной: в структуре доминируют промышленные центры и пригородные агломерации. Культурная жизнь сконцентрирована вокруг традиций инженерных фестивалей, где местные мастера соревнуются в изобретении новых способов механизации сельского и промышленного труда.</w:t>
      </w:r>
    </w:p>
    <w:p w14:paraId="50FC6272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1F695866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Подбрюшинная Гвинея</w:t>
      </w:r>
    </w:p>
    <w:p w14:paraId="2770F61B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Терминал: 16</w:t>
      </w:r>
    </w:p>
    <w:p w14:paraId="339E345D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Подбрюшинная Гвинея — компактный, но амбициозный регион, ориентированный на развитие обрабатывающей промышленности и усиление транспортной инфраструктуры. Последние государственные инициативы включают участие в совместных проектах по расширению железнодорожной сети с соседними странами.</w:t>
      </w:r>
    </w:p>
    <w:p w14:paraId="574BA35C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Согласно последним планам, вблизи терминала 16 предусмотрено расширение производственных мощностей, в том числе в сегменте бытовой техники. Эти инициативы рассматриваются как часть стратегии диверсификации экономики и повышения занятости в регионе.</w:t>
      </w:r>
    </w:p>
    <w:p w14:paraId="0BC6D685" w14:textId="7080B274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77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175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4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5 заказов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6620547A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Географически регион отличается равнинным рельефом с незначительными колебаниями высот, что благоприятно сказывается на скорости развития инфраструктуры. С другой стороны, большое количество административных единиц не в лучшую стоимость сказывается на стоимости строительства. Основная часть населения сосредоточена в небольших промышленных агломерациях, где сохранились традиции локального самоуправления через собрания старейшин.</w:t>
      </w:r>
    </w:p>
    <w:p w14:paraId="0155B3F3" w14:textId="56581992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Культурная жизнь Подбрюшинной Гвинеи активно поддерживается государством: ежегодные фестивали народных ремёсел и механических изобретений становятся центром общественной активности и способом продвижения местной продукции на внешние рынки.</w:t>
      </w:r>
    </w:p>
    <w:p w14:paraId="0CD9CB63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25F363F3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Ультраправая Гвинея</w:t>
      </w:r>
    </w:p>
    <w:p w14:paraId="054E332E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14, 15</w:t>
      </w:r>
    </w:p>
    <w:p w14:paraId="240E0D48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Ультраправая Гвинея — регион с централизованной экономикой и сильной государственной вертикалью управления. В последние годы здесь отмечается рост металлургического производства, чему способствовало формирование экономического партнёрства с рядом соседних стран.</w:t>
      </w:r>
    </w:p>
    <w:p w14:paraId="4A204505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Государственная политика направлена на укрепление внутренних отраслей и минимизацию зависимости от внешних рынков. В то же время международные аналитики отмечают признаки напряжённости во внешнеэкономических отношениях, что теоретически может повлиять на динамику торговли в будущем.</w:t>
      </w:r>
    </w:p>
    <w:p w14:paraId="53049DB1" w14:textId="196B343D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266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366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9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4 заказа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73227713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Отношения с рядом близлежащих территорий, в том числе с Нижней Гвинеей, остаются предметом сложных консультаций и требуют осторожности в планировании совместных проектов. На внутреннем уровне инфраструктура развивается за счёт целевых государственных инвестиций в ключевые транспортные узлы.</w:t>
      </w:r>
    </w:p>
    <w:p w14:paraId="0C3F03B3" w14:textId="5D6646D4" w:rsidR="00622E74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Средняя численность населения региона остаётся стабильной благодаря строгим программам урбанизации и переезда населения в промышленные центры. Культурная жизнь контролируется государственными органами: особое внимание уделяется праздникам труда и массовым парадам достижений тяжёлой промышленности.</w:t>
      </w:r>
    </w:p>
    <w:p w14:paraId="37B81240" w14:textId="77777777" w:rsidR="00622E74" w:rsidRDefault="00622E74">
      <w:pPr>
        <w:spacing w:line="259" w:lineRule="auto"/>
        <w:rPr>
          <w:rFonts w:ascii="Roboto Slab" w:hAnsi="Roboto Slab"/>
          <w:sz w:val="26"/>
          <w:szCs w:val="26"/>
        </w:rPr>
      </w:pPr>
      <w:r>
        <w:rPr>
          <w:rFonts w:ascii="Roboto Slab" w:hAnsi="Roboto Slab"/>
          <w:sz w:val="26"/>
          <w:szCs w:val="26"/>
        </w:rPr>
        <w:br w:type="page"/>
      </w:r>
    </w:p>
    <w:p w14:paraId="361BAF05" w14:textId="77777777" w:rsidR="00571C8E" w:rsidRPr="00571C8E" w:rsidRDefault="00571C8E" w:rsidP="00734670">
      <w:pPr>
        <w:spacing w:after="120"/>
        <w:rPr>
          <w:rFonts w:ascii="Roboto Slab" w:hAnsi="Roboto Slab"/>
          <w:b/>
          <w:bCs/>
          <w:sz w:val="32"/>
          <w:szCs w:val="24"/>
        </w:rPr>
      </w:pPr>
      <w:r w:rsidRPr="00571C8E">
        <w:rPr>
          <w:rFonts w:ascii="Roboto Slab" w:hAnsi="Roboto Slab"/>
          <w:b/>
          <w:bCs/>
          <w:sz w:val="32"/>
          <w:szCs w:val="24"/>
        </w:rPr>
        <w:lastRenderedPageBreak/>
        <w:t>Народная Гвинея</w:t>
      </w:r>
    </w:p>
    <w:p w14:paraId="5F161BB8" w14:textId="77777777" w:rsidR="00571C8E" w:rsidRPr="00571C8E" w:rsidRDefault="00571C8E" w:rsidP="00734670">
      <w:pPr>
        <w:spacing w:after="120"/>
        <w:rPr>
          <w:rFonts w:ascii="Roboto Slab" w:hAnsi="Roboto Slab"/>
        </w:rPr>
      </w:pPr>
      <w:r w:rsidRPr="00571C8E">
        <w:rPr>
          <w:rFonts w:ascii="Roboto Slab" w:hAnsi="Roboto Slab"/>
          <w:b/>
          <w:bCs/>
        </w:rPr>
        <w:t>Терминалы: 18, 19</w:t>
      </w:r>
    </w:p>
    <w:p w14:paraId="6E3257EE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Народная Гвинея — регион с развитой тяжёлой промышленностью и активным государственным участием в экономике. За счёт укрепления партнёрских связей с рядом соседних территорий наблюдается рост металлургического производства и развитие базовой инфраструктуры.</w:t>
      </w:r>
    </w:p>
    <w:p w14:paraId="1C64297E" w14:textId="77777777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Власти региона уделяют приоритетное внимание восстановлению и модернизации промышленных предприятий, рассматривая железнодорожную сеть как стратегический ресурс для экономической интеграции. Внутренняя логистика развивается за счёт целевых субсидий и государственных инвестиций в железнодорожный транспорт.</w:t>
      </w:r>
    </w:p>
    <w:p w14:paraId="49988D21" w14:textId="19DE27BD" w:rsidR="00571C8E" w:rsidRPr="00571C8E" w:rsidRDefault="00571C8E" w:rsidP="00734670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 xml:space="preserve">По оценкам экспертов, потенциал рынка </w:t>
      </w:r>
      <w:r w:rsidR="00832C64">
        <w:rPr>
          <w:rFonts w:ascii="Roboto Slab" w:hAnsi="Roboto Slab"/>
          <w:sz w:val="26"/>
          <w:szCs w:val="26"/>
        </w:rPr>
        <w:t>ж/д перевозок</w:t>
      </w:r>
      <w:r w:rsidRPr="00571C8E">
        <w:rPr>
          <w:rFonts w:ascii="Roboto Slab" w:hAnsi="Roboto Slab"/>
          <w:sz w:val="26"/>
          <w:szCs w:val="26"/>
        </w:rPr>
        <w:t xml:space="preserve"> региона составляет порядка </w:t>
      </w:r>
      <w:r w:rsidRPr="00571C8E">
        <w:rPr>
          <w:rFonts w:ascii="Roboto Slab" w:hAnsi="Roboto Slab"/>
          <w:b/>
          <w:bCs/>
          <w:sz w:val="26"/>
          <w:szCs w:val="26"/>
        </w:rPr>
        <w:t>217 монет</w:t>
      </w:r>
      <w:r w:rsidRPr="00571C8E">
        <w:rPr>
          <w:rFonts w:ascii="Roboto Slab" w:hAnsi="Roboto Slab"/>
          <w:sz w:val="26"/>
          <w:szCs w:val="26"/>
        </w:rPr>
        <w:t xml:space="preserve">, а при благоприятном развитии ситуации может достигать </w:t>
      </w:r>
      <w:r w:rsidRPr="00571C8E">
        <w:rPr>
          <w:rFonts w:ascii="Roboto Slab" w:hAnsi="Roboto Slab"/>
          <w:b/>
          <w:bCs/>
          <w:sz w:val="26"/>
          <w:szCs w:val="26"/>
        </w:rPr>
        <w:t>317 монет</w:t>
      </w:r>
      <w:r w:rsidRPr="00571C8E">
        <w:rPr>
          <w:rFonts w:ascii="Roboto Slab" w:hAnsi="Roboto Slab"/>
          <w:sz w:val="26"/>
          <w:szCs w:val="26"/>
        </w:rPr>
        <w:t xml:space="preserve">. Итоговое число заказов составит </w:t>
      </w:r>
      <w:r w:rsidRPr="00571C8E">
        <w:rPr>
          <w:rFonts w:ascii="Roboto Slab" w:hAnsi="Roboto Slab"/>
          <w:b/>
          <w:bCs/>
          <w:sz w:val="26"/>
          <w:szCs w:val="26"/>
        </w:rPr>
        <w:t>10</w:t>
      </w:r>
      <w:r w:rsidRPr="00571C8E">
        <w:rPr>
          <w:rFonts w:ascii="Roboto Slab" w:hAnsi="Roboto Slab"/>
          <w:sz w:val="26"/>
          <w:szCs w:val="26"/>
        </w:rPr>
        <w:t xml:space="preserve">, с потенциалом увеличения ещё на </w:t>
      </w:r>
      <w:r w:rsidRPr="00571C8E">
        <w:rPr>
          <w:rFonts w:ascii="Roboto Slab" w:hAnsi="Roboto Slab"/>
          <w:b/>
          <w:bCs/>
          <w:sz w:val="26"/>
          <w:szCs w:val="26"/>
        </w:rPr>
        <w:t>4 заказа</w:t>
      </w:r>
      <w:r w:rsidRPr="00571C8E">
        <w:rPr>
          <w:rFonts w:ascii="Roboto Slab" w:hAnsi="Roboto Slab"/>
          <w:sz w:val="26"/>
          <w:szCs w:val="26"/>
        </w:rPr>
        <w:t xml:space="preserve"> при улучшении внешних условий.</w:t>
      </w:r>
    </w:p>
    <w:p w14:paraId="1C5D3C03" w14:textId="1835FAC6" w:rsidR="00734670" w:rsidRDefault="00571C8E" w:rsidP="001873BF">
      <w:pPr>
        <w:spacing w:after="120"/>
        <w:rPr>
          <w:rFonts w:ascii="Roboto Slab" w:hAnsi="Roboto Slab"/>
          <w:sz w:val="26"/>
          <w:szCs w:val="26"/>
        </w:rPr>
      </w:pPr>
      <w:r w:rsidRPr="00571C8E">
        <w:rPr>
          <w:rFonts w:ascii="Roboto Slab" w:hAnsi="Roboto Slab"/>
          <w:sz w:val="26"/>
          <w:szCs w:val="26"/>
        </w:rPr>
        <w:t>Внешнеполитическая обстановка вокруг региона остаётся многовекторной: в некоторых случаях отмечаются сложности в координации трансграничных перевозок. Демографически регион ориентирован на поддержание стабильной численности населения за счёт программ стимулирования занятости в промышленных центрах. Культурная жизнь Народной Гвинеи строится вокруг праздников трудовой доблести, фестивалей промышленного мастерства и общественных мероприятий, подчеркивающих роль рабочих коллективов в развитии страны.</w:t>
      </w:r>
    </w:p>
    <w:sectPr w:rsidR="00734670" w:rsidSect="002D7225">
      <w:headerReference w:type="default" r:id="rId7"/>
      <w:footerReference w:type="default" r:id="rId8"/>
      <w:pgSz w:w="11906" w:h="16838" w:code="9"/>
      <w:pgMar w:top="-1558" w:right="991" w:bottom="1134" w:left="851" w:header="113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9EE3" w14:textId="77777777" w:rsidR="00E92A0E" w:rsidRDefault="00E92A0E" w:rsidP="008226A0">
      <w:pPr>
        <w:spacing w:after="0"/>
      </w:pPr>
      <w:r>
        <w:separator/>
      </w:r>
    </w:p>
  </w:endnote>
  <w:endnote w:type="continuationSeparator" w:id="0">
    <w:p w14:paraId="04094FD2" w14:textId="77777777" w:rsidR="00E92A0E" w:rsidRDefault="00E92A0E" w:rsidP="00822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Slab">
    <w:panose1 w:val="00000000000000000000"/>
    <w:charset w:val="CC"/>
    <w:family w:val="auto"/>
    <w:pitch w:val="variable"/>
    <w:sig w:usb0="200002FF" w:usb1="00000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B387" w14:textId="1CFE3C71" w:rsidR="00734670" w:rsidRDefault="00734670" w:rsidP="00734670">
    <w:pPr>
      <w:pStyle w:val="ae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A3879B4" wp14:editId="28AD3643">
          <wp:simplePos x="0" y="0"/>
          <wp:positionH relativeFrom="margin">
            <wp:posOffset>1774190</wp:posOffset>
          </wp:positionH>
          <wp:positionV relativeFrom="paragraph">
            <wp:posOffset>-64770</wp:posOffset>
          </wp:positionV>
          <wp:extent cx="3114675" cy="514350"/>
          <wp:effectExtent l="0" t="0" r="9525" b="0"/>
          <wp:wrapTight wrapText="bothSides">
            <wp:wrapPolygon edited="0">
              <wp:start x="9512" y="0"/>
              <wp:lineTo x="0" y="9600"/>
              <wp:lineTo x="0" y="15200"/>
              <wp:lineTo x="9644" y="20800"/>
              <wp:lineTo x="13079" y="20800"/>
              <wp:lineTo x="14400" y="20800"/>
              <wp:lineTo x="21534" y="14400"/>
              <wp:lineTo x="21534" y="9600"/>
              <wp:lineTo x="11626" y="0"/>
              <wp:lineTo x="9512" y="0"/>
            </wp:wrapPolygon>
          </wp:wrapTight>
          <wp:docPr id="86" name="Рисунок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46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6D6A4" w14:textId="77777777" w:rsidR="00E92A0E" w:rsidRDefault="00E92A0E" w:rsidP="008226A0">
      <w:pPr>
        <w:spacing w:after="0"/>
      </w:pPr>
      <w:r>
        <w:separator/>
      </w:r>
    </w:p>
  </w:footnote>
  <w:footnote w:type="continuationSeparator" w:id="0">
    <w:p w14:paraId="2AB8EC8E" w14:textId="77777777" w:rsidR="00E92A0E" w:rsidRDefault="00E92A0E" w:rsidP="008226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28DD3" w14:textId="6C6BD548" w:rsidR="008226A0" w:rsidRPr="008226A0" w:rsidRDefault="00832C64" w:rsidP="008226A0">
    <w:pPr>
      <w:pStyle w:val="ac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B91171" wp14:editId="2E389A32">
          <wp:simplePos x="0" y="0"/>
          <wp:positionH relativeFrom="page">
            <wp:posOffset>-79514</wp:posOffset>
          </wp:positionH>
          <wp:positionV relativeFrom="paragraph">
            <wp:posOffset>-741404</wp:posOffset>
          </wp:positionV>
          <wp:extent cx="7673009" cy="10848975"/>
          <wp:effectExtent l="0" t="0" r="4445" b="0"/>
          <wp:wrapNone/>
          <wp:docPr id="84" name="Рисунок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3617" cy="10849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1B0C">
      <w:rPr>
        <w:noProof/>
      </w:rPr>
      <w:drawing>
        <wp:anchor distT="0" distB="0" distL="114300" distR="114300" simplePos="0" relativeHeight="251659264" behindDoc="1" locked="0" layoutInCell="1" allowOverlap="1" wp14:anchorId="6ED836C6" wp14:editId="25B1EFCD">
          <wp:simplePos x="0" y="0"/>
          <wp:positionH relativeFrom="margin">
            <wp:posOffset>1769745</wp:posOffset>
          </wp:positionH>
          <wp:positionV relativeFrom="paragraph">
            <wp:posOffset>-479425</wp:posOffset>
          </wp:positionV>
          <wp:extent cx="3114675" cy="514350"/>
          <wp:effectExtent l="0" t="0" r="9525" b="0"/>
          <wp:wrapTight wrapText="bothSides">
            <wp:wrapPolygon edited="0">
              <wp:start x="9512" y="0"/>
              <wp:lineTo x="0" y="9600"/>
              <wp:lineTo x="0" y="15200"/>
              <wp:lineTo x="9644" y="20800"/>
              <wp:lineTo x="13079" y="20800"/>
              <wp:lineTo x="14400" y="20800"/>
              <wp:lineTo x="21534" y="14400"/>
              <wp:lineTo x="21534" y="9600"/>
              <wp:lineTo x="11626" y="0"/>
              <wp:lineTo x="9512" y="0"/>
            </wp:wrapPolygon>
          </wp:wrapTight>
          <wp:docPr id="83" name="Рисунок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46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3F75"/>
    <w:multiLevelType w:val="hybridMultilevel"/>
    <w:tmpl w:val="86525EDA"/>
    <w:lvl w:ilvl="0" w:tplc="694290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244CA"/>
    <w:multiLevelType w:val="hybridMultilevel"/>
    <w:tmpl w:val="6AF47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367740">
    <w:abstractNumId w:val="1"/>
  </w:num>
  <w:num w:numId="2" w16cid:durableId="68125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A0"/>
    <w:rsid w:val="001873BF"/>
    <w:rsid w:val="001A4C52"/>
    <w:rsid w:val="002D7225"/>
    <w:rsid w:val="00303191"/>
    <w:rsid w:val="00411ED8"/>
    <w:rsid w:val="00571C8E"/>
    <w:rsid w:val="00622E74"/>
    <w:rsid w:val="0065793E"/>
    <w:rsid w:val="006C0B77"/>
    <w:rsid w:val="006C7D37"/>
    <w:rsid w:val="006F2F37"/>
    <w:rsid w:val="00734670"/>
    <w:rsid w:val="0075778A"/>
    <w:rsid w:val="007623BD"/>
    <w:rsid w:val="007C3688"/>
    <w:rsid w:val="007E5BE4"/>
    <w:rsid w:val="008226A0"/>
    <w:rsid w:val="008242FF"/>
    <w:rsid w:val="00832C64"/>
    <w:rsid w:val="00870751"/>
    <w:rsid w:val="00896EC4"/>
    <w:rsid w:val="00922C48"/>
    <w:rsid w:val="00935CB9"/>
    <w:rsid w:val="009C77DB"/>
    <w:rsid w:val="00AD78E2"/>
    <w:rsid w:val="00B915B7"/>
    <w:rsid w:val="00CC4EB5"/>
    <w:rsid w:val="00D71B0C"/>
    <w:rsid w:val="00E92A0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186AA"/>
  <w15:chartTrackingRefBased/>
  <w15:docId w15:val="{16AA190D-991E-4D8F-A72E-9355CFC5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6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6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6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6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6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6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6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6A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6A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6A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26A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26A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26A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26A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26A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26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6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26A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26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26A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26A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26A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26A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226A0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226A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226A0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226A0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2226</Words>
  <Characters>12691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Исаченкова</dc:creator>
  <cp:keywords/>
  <dc:description/>
  <cp:lastModifiedBy>Мария Исаченкова</cp:lastModifiedBy>
  <cp:revision>10</cp:revision>
  <cp:lastPrinted>2025-06-18T14:10:00Z</cp:lastPrinted>
  <dcterms:created xsi:type="dcterms:W3CDTF">2025-05-12T11:25:00Z</dcterms:created>
  <dcterms:modified xsi:type="dcterms:W3CDTF">2025-11-07T13:04:00Z</dcterms:modified>
</cp:coreProperties>
</file>