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B4" w:rsidRPr="00C0699C" w:rsidRDefault="00BF13B4" w:rsidP="00AE43A3">
      <w:pPr>
        <w:pStyle w:val="NoSpacing"/>
        <w:rPr>
          <w:lang w:val="en-US" w:eastAsia="ru-RU"/>
        </w:rPr>
      </w:pPr>
      <w:hyperlink r:id="rId4" w:history="1">
        <w:r w:rsidRPr="00C0699C">
          <w:rPr>
            <w:lang w:val="en-US" w:eastAsia="ru-RU"/>
          </w:rPr>
          <w:t xml:space="preserve">Practice Areas &gt; </w:t>
        </w:r>
      </w:hyperlink>
    </w:p>
    <w:p w:rsidR="00BF13B4" w:rsidRPr="00C0699C" w:rsidRDefault="00BF13B4" w:rsidP="00AE43A3">
      <w:pPr>
        <w:pStyle w:val="NoSpacing"/>
        <w:rPr>
          <w:b/>
          <w:bCs/>
          <w:lang w:val="en-US" w:eastAsia="ru-RU"/>
        </w:rPr>
      </w:pPr>
      <w:r w:rsidRPr="00C0699C">
        <w:rPr>
          <w:b/>
          <w:bCs/>
          <w:lang w:val="en-US" w:eastAsia="ru-RU"/>
        </w:rPr>
        <w:t>Commercial Law</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We provide the following legal services within this area: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advice on different legal matters concerning international and domestic commercial activities, including selection of the form of organization for conducting business in Ukraine, taxation, development of transaction schemes, and relations with supervisory authorities in Ukraine;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due diligence of the client’s business to ascertain compliance with legislation and disclose and mitigate existing risks; </w:t>
      </w:r>
    </w:p>
    <w:p w:rsidR="00BF13B4" w:rsidRPr="00C0699C" w:rsidRDefault="00BF13B4" w:rsidP="00AE43A3">
      <w:pPr>
        <w:spacing w:after="0" w:line="240" w:lineRule="auto"/>
        <w:rPr>
          <w:rFonts w:ascii="Trebuchet MS" w:hAnsi="Trebuchet MS" w:cs="Arial"/>
          <w:sz w:val="13"/>
          <w:szCs w:val="13"/>
          <w:lang w:val="en-US" w:eastAsia="ru-RU"/>
        </w:rPr>
      </w:pPr>
      <w:r w:rsidRPr="00C0699C">
        <w:rPr>
          <w:rFonts w:ascii="Trebuchet MS" w:hAnsi="Trebuchet MS"/>
          <w:color w:val="000000"/>
          <w:sz w:val="13"/>
          <w:szCs w:val="13"/>
          <w:lang w:val="en-US" w:eastAsia="ru-RU"/>
        </w:rPr>
        <w:t>• representation of clients before various Ukrainian regulatory and supervisory authorities, including tax authorities,</w:t>
      </w:r>
      <w:r>
        <w:rPr>
          <w:rFonts w:ascii="Trebuchet MS" w:hAnsi="Trebuchet MS"/>
          <w:color w:val="000000"/>
          <w:sz w:val="13"/>
          <w:szCs w:val="13"/>
          <w:lang w:val="en-US" w:eastAsia="ru-RU"/>
        </w:rPr>
        <w:t xml:space="preserve"> National Commission that carries out government control in the field of markets of financial services, other;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initiation of legal proceedings against authorities and officials who have acted unlawfully;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acquisition of licenses and permits required by Ukrainian law in order to conduct commercial activities;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drafting applications, motions, queries and other documents necessary to conduct business in </w:t>
      </w:r>
      <w:smartTag w:uri="urn:schemas-microsoft-com:office:smarttags" w:element="place">
        <w:smartTag w:uri="urn:schemas-microsoft-com:office:smarttags" w:element="country-region">
          <w:r w:rsidRPr="00C0699C">
            <w:rPr>
              <w:rFonts w:ascii="Trebuchet MS" w:hAnsi="Trebuchet MS"/>
              <w:color w:val="000000"/>
              <w:sz w:val="13"/>
              <w:szCs w:val="13"/>
              <w:lang w:val="en-US" w:eastAsia="ru-RU"/>
            </w:rPr>
            <w:t>Ukraine</w:t>
          </w:r>
        </w:smartTag>
      </w:smartTag>
      <w:r w:rsidRPr="00C0699C">
        <w:rPr>
          <w:rFonts w:ascii="Trebuchet MS" w:hAnsi="Trebuchet MS"/>
          <w:color w:val="000000"/>
          <w:sz w:val="13"/>
          <w:szCs w:val="13"/>
          <w:lang w:val="en-US" w:eastAsia="ru-RU"/>
        </w:rPr>
        <w:t xml:space="preserve">;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analysis of existing contracts, draft contracts and other documents;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drafting different types of contracts, including sale and purchase agreements, leases, construction contracts, service agreements, storage agreements, agency contracts, commission agreements, distribution agreements, loan agreements, joint venture agreements, mortgages, guarantees, assignments;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assistance with the process of notarization and state registration of transactions;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support during negotiations with contracting parties; </w:t>
      </w:r>
    </w:p>
    <w:p w:rsidR="00BF13B4" w:rsidRPr="00C0699C" w:rsidRDefault="00BF13B4" w:rsidP="00AE43A3">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custody of documents. </w:t>
      </w:r>
    </w:p>
    <w:p w:rsidR="00BF13B4" w:rsidRDefault="00BF13B4" w:rsidP="00E64EB0">
      <w:pPr>
        <w:pStyle w:val="NoSpacing"/>
        <w:rPr>
          <w:lang w:val="en-US"/>
        </w:rPr>
      </w:pPr>
    </w:p>
    <w:p w:rsidR="00BF13B4" w:rsidRPr="00C0699C" w:rsidRDefault="00BF13B4" w:rsidP="00E64EB0">
      <w:pPr>
        <w:pStyle w:val="NoSpacing"/>
        <w:rPr>
          <w:lang w:val="en-US" w:eastAsia="ru-RU"/>
        </w:rPr>
      </w:pPr>
      <w:hyperlink r:id="rId5" w:history="1">
        <w:r w:rsidRPr="00C0699C">
          <w:rPr>
            <w:lang w:val="en-US" w:eastAsia="ru-RU"/>
          </w:rPr>
          <w:t xml:space="preserve">Practice Areas &gt; </w:t>
        </w:r>
      </w:hyperlink>
    </w:p>
    <w:p w:rsidR="00BF13B4" w:rsidRPr="00C0699C" w:rsidRDefault="00BF13B4" w:rsidP="00E64EB0">
      <w:pPr>
        <w:pStyle w:val="NoSpacing"/>
        <w:rPr>
          <w:b/>
          <w:bCs/>
          <w:lang w:val="en-US" w:eastAsia="ru-RU"/>
        </w:rPr>
      </w:pPr>
      <w:r w:rsidRPr="00C0699C">
        <w:rPr>
          <w:b/>
          <w:bCs/>
          <w:lang w:val="en-US" w:eastAsia="ru-RU"/>
        </w:rPr>
        <w:t>Corporate Law, M&amp;A</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Our services in this area include: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advice on different corporate matters, including company formation, corporate governance, corporate finance, mergers and acquisitions;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drafting documents necessary for the formation and operation of companies including articles of association, minutes of meetings, internal documents;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state registration of different types of legal entities, including limited liability companies and joint stock companies, as well as their subsidiaries and representative offices;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acquisition of relevant certificates, licenses and permits for company formation, raising foreign capital, mergers and acquisitions, </w:t>
      </w:r>
      <w:r>
        <w:rPr>
          <w:rFonts w:ascii="Trebuchet MS" w:hAnsi="Trebuchet MS"/>
          <w:color w:val="000000"/>
          <w:sz w:val="13"/>
          <w:szCs w:val="13"/>
          <w:lang w:val="en-US" w:eastAsia="ru-RU"/>
        </w:rPr>
        <w:t>and sale and purchase of shares</w:t>
      </w:r>
      <w:r w:rsidRPr="00C0699C">
        <w:rPr>
          <w:rFonts w:ascii="Trebuchet MS" w:hAnsi="Trebuchet MS"/>
          <w:color w:val="000000"/>
          <w:sz w:val="13"/>
          <w:szCs w:val="13"/>
          <w:lang w:val="en-US" w:eastAsia="ru-RU"/>
        </w:rPr>
        <w:t xml:space="preserve">; </w:t>
      </w:r>
    </w:p>
    <w:p w:rsidR="00BF13B4" w:rsidRPr="002A0F2A"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representation of clients before various Ukrainian authorities, including companies registrars, </w:t>
      </w:r>
      <w:r>
        <w:rPr>
          <w:rFonts w:ascii="Trebuchet MS" w:hAnsi="Trebuchet MS"/>
          <w:color w:val="000000"/>
          <w:sz w:val="13"/>
          <w:szCs w:val="13"/>
          <w:lang w:val="en-US" w:eastAsia="ru-RU"/>
        </w:rPr>
        <w:t>National Commission that carries out government control in the field of markets of financial services, other</w:t>
      </w:r>
      <w:r w:rsidRPr="00C0699C">
        <w:rPr>
          <w:rFonts w:ascii="Trebuchet MS" w:hAnsi="Trebuchet MS"/>
          <w:color w:val="000000"/>
          <w:sz w:val="13"/>
          <w:szCs w:val="13"/>
          <w:lang w:val="en-US" w:eastAsia="ru-RU"/>
        </w:rPr>
        <w:t xml:space="preserve">; </w:t>
      </w:r>
      <w:r w:rsidRPr="002A0F2A">
        <w:rPr>
          <w:rFonts w:ascii="Trebuchet MS" w:hAnsi="Trebuchet MS"/>
          <w:color w:val="000000"/>
          <w:sz w:val="13"/>
          <w:szCs w:val="13"/>
          <w:lang w:val="en-US" w:eastAsia="ru-RU"/>
        </w:rPr>
        <w:t xml:space="preserve">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assistance in preparing and holding general meetings;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assistance with company reorganizations;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due diligence of target companies for the purpose of ascertaining compliance with legislation and disclosing and mitigating existing risks;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preparation of necessary documents, and legal support, in share transactions;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corporate conflict resolution, including judicial proceedings. </w:t>
      </w:r>
    </w:p>
    <w:p w:rsidR="00BF13B4" w:rsidRDefault="00BF13B4" w:rsidP="00E64EB0">
      <w:pPr>
        <w:pStyle w:val="NoSpacing"/>
        <w:rPr>
          <w:lang w:val="en-US"/>
        </w:rPr>
      </w:pPr>
    </w:p>
    <w:p w:rsidR="00BF13B4" w:rsidRPr="00C0699C" w:rsidRDefault="00BF13B4" w:rsidP="00E64EB0">
      <w:pPr>
        <w:pStyle w:val="NoSpacing"/>
        <w:rPr>
          <w:lang w:val="en-US" w:eastAsia="ru-RU"/>
        </w:rPr>
      </w:pPr>
      <w:hyperlink r:id="rId6" w:history="1">
        <w:r w:rsidRPr="00C0699C">
          <w:rPr>
            <w:lang w:val="en-US" w:eastAsia="ru-RU"/>
          </w:rPr>
          <w:t xml:space="preserve">Practice Areas &gt; </w:t>
        </w:r>
      </w:hyperlink>
    </w:p>
    <w:p w:rsidR="00BF13B4" w:rsidRPr="00C0699C" w:rsidRDefault="00BF13B4" w:rsidP="00E64EB0">
      <w:pPr>
        <w:pStyle w:val="NoSpacing"/>
        <w:rPr>
          <w:b/>
          <w:bCs/>
          <w:lang w:val="en-US" w:eastAsia="ru-RU"/>
        </w:rPr>
      </w:pPr>
      <w:r w:rsidRPr="00C0699C">
        <w:rPr>
          <w:b/>
          <w:bCs/>
          <w:lang w:val="en-US" w:eastAsia="ru-RU"/>
        </w:rPr>
        <w:t>Real Estate and Construction</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We provide the following legal services in this area: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advice on different legal matters concerning real estate, including acquisition and leasing of real property, registration of title to land and buildings, optimal schemes for construction investments, taxation of real estate transactions;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analysis of real estate title documents to ascertain compliance with legislation and disclose and mitigate existing risks;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analysis of risks arising from construction investment projects;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representation of clients before Ukrainian courts, national authorities and local authorities, state, municipal and private organizations, including technical inventory and registration bureaus, in respect of title registration and defence;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assistance with land allotments and changing plot designation;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assistance in obtaining construction permits;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registration of title;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development and implementation of asset protection plans in the event of attachment and adversarial claims;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drafting a wide range of real estate-related contracts, including sale and purchase agreements, gifts, swaps, leases, construction contracts, realtor agreements, construction joint ventures, mortgages, assignments;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assistance during the process of notarization and state registration of real estate transactions; </w:t>
      </w:r>
    </w:p>
    <w:p w:rsidR="00BF13B4" w:rsidRPr="00C0699C" w:rsidRDefault="00BF13B4" w:rsidP="00E64EB0">
      <w:pPr>
        <w:pStyle w:val="NoSpacing"/>
        <w:rPr>
          <w:rFonts w:ascii="Trebuchet MS" w:hAnsi="Trebuchet MS"/>
          <w:color w:val="000000"/>
          <w:sz w:val="13"/>
          <w:szCs w:val="13"/>
          <w:lang w:val="en-US" w:eastAsia="ru-RU"/>
        </w:rPr>
      </w:pPr>
      <w:r w:rsidRPr="00C0699C">
        <w:rPr>
          <w:rFonts w:ascii="Trebuchet MS" w:hAnsi="Trebuchet MS"/>
          <w:color w:val="000000"/>
          <w:sz w:val="13"/>
          <w:szCs w:val="13"/>
          <w:lang w:val="en-US" w:eastAsia="ru-RU"/>
        </w:rPr>
        <w:t xml:space="preserve">• legal support during negotiations with contracting parties. </w:t>
      </w:r>
    </w:p>
    <w:p w:rsidR="00BF13B4" w:rsidRDefault="00BF13B4" w:rsidP="00E64EB0">
      <w:pPr>
        <w:pStyle w:val="NoSpacing"/>
        <w:rPr>
          <w:lang w:val="en-US"/>
        </w:rPr>
      </w:pPr>
    </w:p>
    <w:p w:rsidR="00BF13B4" w:rsidRPr="007273C6" w:rsidRDefault="00BF13B4" w:rsidP="00E64EB0">
      <w:pPr>
        <w:pStyle w:val="NoSpacing"/>
        <w:rPr>
          <w:rFonts w:ascii="Trebuchet MS" w:hAnsi="Trebuchet MS"/>
          <w:sz w:val="13"/>
          <w:szCs w:val="13"/>
          <w:lang w:val="en-US" w:eastAsia="ru-RU"/>
        </w:rPr>
      </w:pPr>
      <w:hyperlink r:id="rId7" w:history="1">
        <w:r w:rsidRPr="007273C6">
          <w:rPr>
            <w:rFonts w:ascii="Trebuchet MS" w:hAnsi="Trebuchet MS"/>
            <w:sz w:val="13"/>
            <w:szCs w:val="13"/>
            <w:lang w:val="en-US" w:eastAsia="ru-RU"/>
          </w:rPr>
          <w:t xml:space="preserve">Practice Areas &gt; </w:t>
        </w:r>
      </w:hyperlink>
    </w:p>
    <w:p w:rsidR="00BF13B4" w:rsidRPr="007273C6" w:rsidRDefault="00BF13B4" w:rsidP="00E64EB0">
      <w:pPr>
        <w:pStyle w:val="NoSpacing"/>
        <w:rPr>
          <w:rFonts w:ascii="Trebuchet MS" w:hAnsi="Trebuchet MS"/>
          <w:b/>
          <w:bCs/>
          <w:sz w:val="13"/>
          <w:szCs w:val="13"/>
          <w:lang w:val="en-US" w:eastAsia="ru-RU"/>
        </w:rPr>
      </w:pPr>
      <w:r w:rsidRPr="007273C6">
        <w:rPr>
          <w:rFonts w:ascii="Trebuchet MS" w:hAnsi="Trebuchet MS"/>
          <w:b/>
          <w:bCs/>
          <w:sz w:val="13"/>
          <w:szCs w:val="13"/>
          <w:lang w:val="en-US" w:eastAsia="ru-RU"/>
        </w:rPr>
        <w:t>Litigation and Arbitration</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We provide a wide range of professional services for dispute resolution, in</w:t>
      </w:r>
      <w:r w:rsidRPr="007273C6">
        <w:rPr>
          <w:rFonts w:ascii="Trebuchet MS" w:hAnsi="Trebuchet MS"/>
          <w:color w:val="000000"/>
          <w:sz w:val="13"/>
          <w:szCs w:val="13"/>
          <w:lang w:eastAsia="ru-RU"/>
        </w:rPr>
        <w:t>с</w:t>
      </w:r>
      <w:r w:rsidRPr="007273C6">
        <w:rPr>
          <w:rFonts w:ascii="Trebuchet MS" w:hAnsi="Trebuchet MS"/>
          <w:color w:val="000000"/>
          <w:sz w:val="13"/>
          <w:szCs w:val="13"/>
          <w:lang w:val="en-US" w:eastAsia="ru-RU"/>
        </w:rPr>
        <w:t xml:space="preserve">luding: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advice on contested matters and settlement options;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legal analysis of documents in respect of the client’s case;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legal support during extra-judicial settlement negotiations;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collection and analysis of evidence in the client’s case;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preparation and submission of the statement of claim, case briefs, motions and other appropriate procedural documents;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drafting an answer to a statement of claim filed against a client, including substantive objections;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representation of clients in civil, commercial and administrative cases before all types of courts, including district and appellate courts, the High Commercial Court of Ukraine, the High Administrative Court of Ukraine and the Supreme Court of Ukraine;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appeal of court decisions in appellate and cassation proceedings as well as preparation of objections to an opposing party’s appeal;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legal assistance when enforcing court decisions and representation of clients before Ukrainian state enforcement authorities; </w:t>
      </w:r>
    </w:p>
    <w:p w:rsidR="00BF13B4" w:rsidRDefault="00BF13B4" w:rsidP="00E64EB0">
      <w:pPr>
        <w:pStyle w:val="NoSpacing"/>
        <w:rPr>
          <w:lang w:val="en-US"/>
        </w:rPr>
      </w:pPr>
    </w:p>
    <w:p w:rsidR="00BF13B4" w:rsidRPr="007273C6" w:rsidRDefault="00BF13B4" w:rsidP="00E64EB0">
      <w:pPr>
        <w:pStyle w:val="NoSpacing"/>
        <w:rPr>
          <w:rFonts w:ascii="Trebuchet MS" w:hAnsi="Trebuchet MS"/>
          <w:sz w:val="13"/>
          <w:szCs w:val="13"/>
          <w:lang w:val="en-US" w:eastAsia="ru-RU"/>
        </w:rPr>
      </w:pPr>
      <w:hyperlink r:id="rId8" w:history="1">
        <w:r w:rsidRPr="007273C6">
          <w:rPr>
            <w:rFonts w:ascii="Trebuchet MS" w:hAnsi="Trebuchet MS"/>
            <w:sz w:val="13"/>
            <w:szCs w:val="13"/>
            <w:lang w:val="en-US" w:eastAsia="ru-RU"/>
          </w:rPr>
          <w:t xml:space="preserve">Practice Areas &gt; </w:t>
        </w:r>
      </w:hyperlink>
    </w:p>
    <w:p w:rsidR="00BF13B4" w:rsidRPr="007273C6" w:rsidRDefault="00BF13B4" w:rsidP="00E64EB0">
      <w:pPr>
        <w:pStyle w:val="NoSpacing"/>
        <w:rPr>
          <w:rFonts w:ascii="Trebuchet MS" w:hAnsi="Trebuchet MS"/>
          <w:b/>
          <w:bCs/>
          <w:sz w:val="13"/>
          <w:szCs w:val="13"/>
          <w:lang w:eastAsia="ru-RU"/>
        </w:rPr>
      </w:pPr>
      <w:r w:rsidRPr="007273C6">
        <w:rPr>
          <w:rFonts w:ascii="Trebuchet MS" w:hAnsi="Trebuchet MS"/>
          <w:b/>
          <w:bCs/>
          <w:sz w:val="13"/>
          <w:szCs w:val="13"/>
          <w:lang w:val="en-US" w:eastAsia="ru-RU"/>
        </w:rPr>
        <w:t>Banking and Finance</w:t>
      </w:r>
      <w:r w:rsidRPr="007273C6">
        <w:rPr>
          <w:rFonts w:ascii="Trebuchet MS" w:hAnsi="Trebuchet MS"/>
          <w:b/>
          <w:bCs/>
          <w:sz w:val="13"/>
          <w:szCs w:val="13"/>
          <w:lang w:eastAsia="ru-RU"/>
        </w:rPr>
        <w:t xml:space="preserve">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Our services in this area include: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advice on settlement and currency control rules, capitalization issues, financing, secured transactions, insurance;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legal assistance in setting up and operating custody accounts;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legal support in setting up and operating accounts in Ukrainian banks, including investment accounts for non-residents;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legal assistance in registering loan agreements with non-residents at the National Bank of Ukraine;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development and implementation of corporate finance plans;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legal analysis of existing contracts, draft contracts and other corporate finance documents;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drafting various types of securities and corporate finance agreements, including sale and purchase agreements, gifts, swaps, professional services agreements, storage agreements, agency agreements, commission agreements, loans, mortgages, guarantees, and assignments; </w:t>
      </w:r>
    </w:p>
    <w:p w:rsidR="00BF13B4" w:rsidRPr="007273C6" w:rsidRDefault="00BF13B4" w:rsidP="00E64EB0">
      <w:pPr>
        <w:pStyle w:val="NoSpacing"/>
        <w:rPr>
          <w:rFonts w:ascii="Trebuchet MS" w:hAnsi="Trebuchet MS"/>
          <w:color w:val="000000"/>
          <w:sz w:val="13"/>
          <w:szCs w:val="13"/>
          <w:lang w:val="en-US" w:eastAsia="ru-RU"/>
        </w:rPr>
      </w:pPr>
      <w:r w:rsidRPr="007273C6">
        <w:rPr>
          <w:rFonts w:ascii="Trebuchet MS" w:hAnsi="Trebuchet MS"/>
          <w:color w:val="000000"/>
          <w:sz w:val="13"/>
          <w:szCs w:val="13"/>
          <w:lang w:val="en-US" w:eastAsia="ru-RU"/>
        </w:rPr>
        <w:t xml:space="preserve">• representation of clients in judicial proceedings. </w:t>
      </w:r>
    </w:p>
    <w:p w:rsidR="00BF13B4" w:rsidRPr="007273C6" w:rsidRDefault="00BF13B4" w:rsidP="00E64EB0">
      <w:pPr>
        <w:pStyle w:val="NoSpacing"/>
        <w:rPr>
          <w:rFonts w:ascii="Trebuchet MS" w:hAnsi="Trebuchet MS"/>
          <w:sz w:val="13"/>
          <w:szCs w:val="13"/>
          <w:lang w:val="en-US"/>
        </w:rPr>
      </w:pPr>
    </w:p>
    <w:p w:rsidR="00BF13B4" w:rsidRPr="007273C6" w:rsidRDefault="00BF13B4" w:rsidP="00E64EB0">
      <w:pPr>
        <w:pStyle w:val="NoSpacing"/>
        <w:rPr>
          <w:rFonts w:ascii="Trebuchet MS" w:hAnsi="Trebuchet MS"/>
          <w:sz w:val="13"/>
          <w:szCs w:val="13"/>
          <w:lang w:val="en-US"/>
        </w:rPr>
      </w:pPr>
    </w:p>
    <w:p w:rsidR="00BF13B4" w:rsidRPr="007273C6" w:rsidRDefault="00BF13B4" w:rsidP="00E64EB0">
      <w:pPr>
        <w:pStyle w:val="NoSpacing"/>
        <w:rPr>
          <w:rFonts w:ascii="Trebuchet MS" w:hAnsi="Trebuchet MS"/>
          <w:sz w:val="13"/>
          <w:szCs w:val="13"/>
          <w:lang w:val="en-US" w:eastAsia="ru-RU"/>
        </w:rPr>
      </w:pPr>
      <w:hyperlink r:id="rId9" w:history="1">
        <w:r w:rsidRPr="007273C6">
          <w:rPr>
            <w:rFonts w:ascii="Trebuchet MS" w:hAnsi="Trebuchet MS"/>
            <w:sz w:val="13"/>
            <w:szCs w:val="13"/>
            <w:lang w:val="en-US" w:eastAsia="ru-RU"/>
          </w:rPr>
          <w:t xml:space="preserve">Practice Areas &gt; </w:t>
        </w:r>
      </w:hyperlink>
    </w:p>
    <w:p w:rsidR="00BF13B4" w:rsidRPr="007273C6" w:rsidRDefault="00BF13B4" w:rsidP="00E64EB0">
      <w:pPr>
        <w:pStyle w:val="NoSpacing"/>
        <w:rPr>
          <w:rFonts w:ascii="Trebuchet MS" w:hAnsi="Trebuchet MS"/>
          <w:b/>
          <w:sz w:val="13"/>
          <w:szCs w:val="13"/>
          <w:lang w:val="en-US" w:eastAsia="ru-RU"/>
        </w:rPr>
      </w:pPr>
      <w:r w:rsidRPr="007273C6">
        <w:rPr>
          <w:rFonts w:ascii="Trebuchet MS" w:hAnsi="Trebuchet MS"/>
          <w:b/>
          <w:sz w:val="13"/>
          <w:szCs w:val="13"/>
          <w:lang w:val="en-US" w:eastAsia="ru-RU"/>
        </w:rPr>
        <w:t>Tax Law</w:t>
      </w:r>
    </w:p>
    <w:p w:rsidR="00BF13B4" w:rsidRPr="007273C6" w:rsidRDefault="00BF13B4" w:rsidP="00E64EB0">
      <w:pPr>
        <w:pStyle w:val="NoSpacing"/>
        <w:rPr>
          <w:rFonts w:ascii="Trebuchet MS" w:hAnsi="Trebuchet MS"/>
          <w:sz w:val="13"/>
          <w:szCs w:val="13"/>
          <w:lang w:val="en-US" w:eastAsia="ru-RU"/>
        </w:rPr>
      </w:pPr>
      <w:r w:rsidRPr="007273C6">
        <w:rPr>
          <w:rFonts w:ascii="Trebuchet MS" w:hAnsi="Trebuchet MS"/>
          <w:sz w:val="13"/>
          <w:szCs w:val="13"/>
          <w:lang w:val="en-US" w:eastAsia="ru-RU"/>
        </w:rPr>
        <w:t xml:space="preserve">We provide the following legal services in this area: </w:t>
      </w:r>
    </w:p>
    <w:p w:rsidR="00BF13B4" w:rsidRPr="007273C6" w:rsidRDefault="00BF13B4" w:rsidP="00E64EB0">
      <w:pPr>
        <w:pStyle w:val="NoSpacing"/>
        <w:rPr>
          <w:rFonts w:ascii="Trebuchet MS" w:hAnsi="Trebuchet MS"/>
          <w:sz w:val="13"/>
          <w:szCs w:val="13"/>
          <w:lang w:val="en-US" w:eastAsia="ru-RU"/>
        </w:rPr>
      </w:pPr>
      <w:r w:rsidRPr="007273C6">
        <w:rPr>
          <w:rFonts w:ascii="Trebuchet MS" w:hAnsi="Trebuchet MS"/>
          <w:sz w:val="13"/>
          <w:szCs w:val="13"/>
          <w:lang w:val="en-US" w:eastAsia="ru-RU"/>
        </w:rPr>
        <w:t xml:space="preserve">• advice on different tax matters involving corporate income tax, VAT and other Ukrainian taxes and duties; </w:t>
      </w:r>
    </w:p>
    <w:p w:rsidR="00BF13B4" w:rsidRPr="007273C6" w:rsidRDefault="00BF13B4" w:rsidP="00E64EB0">
      <w:pPr>
        <w:pStyle w:val="NoSpacing"/>
        <w:rPr>
          <w:rFonts w:ascii="Trebuchet MS" w:hAnsi="Trebuchet MS"/>
          <w:sz w:val="13"/>
          <w:szCs w:val="13"/>
          <w:lang w:val="en-US" w:eastAsia="ru-RU"/>
        </w:rPr>
      </w:pPr>
      <w:r w:rsidRPr="007273C6">
        <w:rPr>
          <w:rFonts w:ascii="Trebuchet MS" w:hAnsi="Trebuchet MS"/>
          <w:sz w:val="13"/>
          <w:szCs w:val="13"/>
          <w:lang w:val="en-US" w:eastAsia="ru-RU"/>
        </w:rPr>
        <w:t xml:space="preserve">• drafting various types of contracts with an eye towards tax considerations; </w:t>
      </w:r>
    </w:p>
    <w:p w:rsidR="00BF13B4" w:rsidRPr="007273C6" w:rsidRDefault="00BF13B4" w:rsidP="00E64EB0">
      <w:pPr>
        <w:pStyle w:val="NoSpacing"/>
        <w:rPr>
          <w:rFonts w:ascii="Trebuchet MS" w:hAnsi="Trebuchet MS"/>
          <w:sz w:val="13"/>
          <w:szCs w:val="13"/>
          <w:lang w:val="en-US" w:eastAsia="ru-RU"/>
        </w:rPr>
      </w:pPr>
      <w:r w:rsidRPr="007273C6">
        <w:rPr>
          <w:rFonts w:ascii="Trebuchet MS" w:hAnsi="Trebuchet MS"/>
          <w:sz w:val="13"/>
          <w:szCs w:val="13"/>
          <w:lang w:val="en-US" w:eastAsia="ru-RU"/>
        </w:rPr>
        <w:t xml:space="preserve">• legal support during tax audits and drafting objections to the auditor’s conclusions; </w:t>
      </w:r>
    </w:p>
    <w:p w:rsidR="00BF13B4" w:rsidRPr="007273C6" w:rsidRDefault="00BF13B4" w:rsidP="00E64EB0">
      <w:pPr>
        <w:pStyle w:val="NoSpacing"/>
        <w:rPr>
          <w:rFonts w:ascii="Trebuchet MS" w:hAnsi="Trebuchet MS"/>
          <w:sz w:val="13"/>
          <w:szCs w:val="13"/>
          <w:lang w:val="en-US" w:eastAsia="ru-RU"/>
        </w:rPr>
      </w:pPr>
      <w:r w:rsidRPr="007273C6">
        <w:rPr>
          <w:rFonts w:ascii="Trebuchet MS" w:hAnsi="Trebuchet MS"/>
          <w:sz w:val="13"/>
          <w:szCs w:val="13"/>
          <w:lang w:val="en-US" w:eastAsia="ru-RU"/>
        </w:rPr>
        <w:t xml:space="preserve">• representation of clients before Ukrainian tax service authorities; </w:t>
      </w:r>
    </w:p>
    <w:p w:rsidR="00BF13B4" w:rsidRPr="007273C6" w:rsidRDefault="00BF13B4" w:rsidP="00E64EB0">
      <w:pPr>
        <w:pStyle w:val="NoSpacing"/>
        <w:rPr>
          <w:rFonts w:ascii="Trebuchet MS" w:hAnsi="Trebuchet MS"/>
          <w:sz w:val="13"/>
          <w:szCs w:val="13"/>
          <w:lang w:val="en-US" w:eastAsia="ru-RU"/>
        </w:rPr>
      </w:pPr>
      <w:r w:rsidRPr="007273C6">
        <w:rPr>
          <w:rFonts w:ascii="Trebuchet MS" w:hAnsi="Trebuchet MS"/>
          <w:sz w:val="13"/>
          <w:szCs w:val="13"/>
          <w:lang w:val="en-US" w:eastAsia="ru-RU"/>
        </w:rPr>
        <w:t xml:space="preserve">• administrative appeal of tax service authority decisions; </w:t>
      </w:r>
    </w:p>
    <w:p w:rsidR="00BF13B4" w:rsidRPr="007273C6" w:rsidRDefault="00BF13B4" w:rsidP="00E64EB0">
      <w:pPr>
        <w:pStyle w:val="NoSpacing"/>
        <w:rPr>
          <w:rFonts w:ascii="Trebuchet MS" w:hAnsi="Trebuchet MS"/>
          <w:sz w:val="13"/>
          <w:szCs w:val="13"/>
          <w:lang w:val="en-US" w:eastAsia="ru-RU"/>
        </w:rPr>
      </w:pPr>
      <w:r w:rsidRPr="007273C6">
        <w:rPr>
          <w:rFonts w:ascii="Trebuchet MS" w:hAnsi="Trebuchet MS"/>
          <w:sz w:val="13"/>
          <w:szCs w:val="13"/>
          <w:lang w:val="en-US" w:eastAsia="ru-RU"/>
        </w:rPr>
        <w:t xml:space="preserve">• judicial appeal of tax service authority decisions. </w:t>
      </w:r>
    </w:p>
    <w:p w:rsidR="00BF13B4" w:rsidRPr="00E64EB0" w:rsidRDefault="00BF13B4" w:rsidP="00E64EB0">
      <w:pPr>
        <w:pStyle w:val="NoSpacing"/>
        <w:rPr>
          <w:lang w:val="en-US"/>
        </w:rPr>
      </w:pPr>
    </w:p>
    <w:sectPr w:rsidR="00BF13B4" w:rsidRPr="00E64EB0" w:rsidSect="00E64EB0">
      <w:pgSz w:w="11906" w:h="16838"/>
      <w:pgMar w:top="426"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4EB0"/>
    <w:rsid w:val="001338B8"/>
    <w:rsid w:val="002A0F2A"/>
    <w:rsid w:val="003D437A"/>
    <w:rsid w:val="004069D4"/>
    <w:rsid w:val="00473BDC"/>
    <w:rsid w:val="00550045"/>
    <w:rsid w:val="007273C6"/>
    <w:rsid w:val="007F501B"/>
    <w:rsid w:val="0088030E"/>
    <w:rsid w:val="008917D6"/>
    <w:rsid w:val="009A19B9"/>
    <w:rsid w:val="00AE43A3"/>
    <w:rsid w:val="00BF13B4"/>
    <w:rsid w:val="00C0699C"/>
    <w:rsid w:val="00E64EB0"/>
    <w:rsid w:val="00F725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CE"/>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64EB0"/>
    <w:rPr>
      <w:rFonts w:cs="Times New Roman"/>
      <w:color w:val="000000"/>
      <w:u w:val="none"/>
      <w:effect w:val="none"/>
    </w:rPr>
  </w:style>
  <w:style w:type="paragraph" w:styleId="NormalWeb">
    <w:name w:val="Normal (Web)"/>
    <w:basedOn w:val="Normal"/>
    <w:uiPriority w:val="99"/>
    <w:semiHidden/>
    <w:rsid w:val="00E64EB0"/>
    <w:pPr>
      <w:spacing w:before="100" w:beforeAutospacing="1" w:after="100" w:afterAutospacing="1" w:line="240" w:lineRule="auto"/>
    </w:pPr>
    <w:rPr>
      <w:rFonts w:ascii="Trebuchet MS" w:eastAsia="Times New Roman" w:hAnsi="Trebuchet MS"/>
      <w:sz w:val="24"/>
      <w:szCs w:val="24"/>
      <w:lang w:eastAsia="ru-RU"/>
    </w:rPr>
  </w:style>
  <w:style w:type="paragraph" w:styleId="NoSpacing">
    <w:name w:val="No Spacing"/>
    <w:uiPriority w:val="99"/>
    <w:qFormat/>
    <w:rsid w:val="00E64EB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23390">
      <w:marLeft w:val="0"/>
      <w:marRight w:val="0"/>
      <w:marTop w:val="0"/>
      <w:marBottom w:val="0"/>
      <w:divBdr>
        <w:top w:val="none" w:sz="0" w:space="0" w:color="auto"/>
        <w:left w:val="none" w:sz="0" w:space="0" w:color="auto"/>
        <w:bottom w:val="none" w:sz="0" w:space="0" w:color="auto"/>
        <w:right w:val="none" w:sz="0" w:space="0" w:color="auto"/>
      </w:divBdr>
      <w:divsChild>
        <w:div w:id="1174223392">
          <w:marLeft w:val="0"/>
          <w:marRight w:val="0"/>
          <w:marTop w:val="0"/>
          <w:marBottom w:val="0"/>
          <w:divBdr>
            <w:top w:val="none" w:sz="0" w:space="0" w:color="auto"/>
            <w:left w:val="none" w:sz="0" w:space="0" w:color="auto"/>
            <w:bottom w:val="none" w:sz="0" w:space="0" w:color="auto"/>
            <w:right w:val="none" w:sz="0" w:space="0" w:color="auto"/>
          </w:divBdr>
          <w:divsChild>
            <w:div w:id="1174223388">
              <w:marLeft w:val="0"/>
              <w:marRight w:val="0"/>
              <w:marTop w:val="0"/>
              <w:marBottom w:val="0"/>
              <w:divBdr>
                <w:top w:val="none" w:sz="0" w:space="0" w:color="auto"/>
                <w:left w:val="none" w:sz="0" w:space="0" w:color="auto"/>
                <w:bottom w:val="none" w:sz="0" w:space="0" w:color="auto"/>
                <w:right w:val="none" w:sz="0" w:space="0" w:color="auto"/>
              </w:divBdr>
              <w:divsChild>
                <w:div w:id="1174223419">
                  <w:marLeft w:val="-100"/>
                  <w:marRight w:val="0"/>
                  <w:marTop w:val="0"/>
                  <w:marBottom w:val="22144"/>
                  <w:divBdr>
                    <w:top w:val="none" w:sz="0" w:space="0" w:color="auto"/>
                    <w:left w:val="none" w:sz="0" w:space="0" w:color="auto"/>
                    <w:bottom w:val="none" w:sz="0" w:space="0" w:color="auto"/>
                    <w:right w:val="none" w:sz="0" w:space="0" w:color="auto"/>
                  </w:divBdr>
                  <w:divsChild>
                    <w:div w:id="1174223418">
                      <w:marLeft w:val="0"/>
                      <w:marRight w:val="0"/>
                      <w:marTop w:val="0"/>
                      <w:marBottom w:val="0"/>
                      <w:divBdr>
                        <w:top w:val="none" w:sz="0" w:space="0" w:color="auto"/>
                        <w:left w:val="none" w:sz="0" w:space="0" w:color="auto"/>
                        <w:bottom w:val="none" w:sz="0" w:space="0" w:color="auto"/>
                        <w:right w:val="none" w:sz="0" w:space="0" w:color="auto"/>
                      </w:divBdr>
                      <w:divsChild>
                        <w:div w:id="11742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394">
      <w:marLeft w:val="0"/>
      <w:marRight w:val="0"/>
      <w:marTop w:val="0"/>
      <w:marBottom w:val="0"/>
      <w:divBdr>
        <w:top w:val="none" w:sz="0" w:space="0" w:color="auto"/>
        <w:left w:val="none" w:sz="0" w:space="0" w:color="auto"/>
        <w:bottom w:val="none" w:sz="0" w:space="0" w:color="auto"/>
        <w:right w:val="none" w:sz="0" w:space="0" w:color="auto"/>
      </w:divBdr>
      <w:divsChild>
        <w:div w:id="1174223389">
          <w:marLeft w:val="0"/>
          <w:marRight w:val="0"/>
          <w:marTop w:val="0"/>
          <w:marBottom w:val="0"/>
          <w:divBdr>
            <w:top w:val="none" w:sz="0" w:space="0" w:color="auto"/>
            <w:left w:val="none" w:sz="0" w:space="0" w:color="auto"/>
            <w:bottom w:val="none" w:sz="0" w:space="0" w:color="auto"/>
            <w:right w:val="none" w:sz="0" w:space="0" w:color="auto"/>
          </w:divBdr>
          <w:divsChild>
            <w:div w:id="1174223395">
              <w:marLeft w:val="0"/>
              <w:marRight w:val="0"/>
              <w:marTop w:val="0"/>
              <w:marBottom w:val="0"/>
              <w:divBdr>
                <w:top w:val="none" w:sz="0" w:space="0" w:color="auto"/>
                <w:left w:val="none" w:sz="0" w:space="0" w:color="auto"/>
                <w:bottom w:val="none" w:sz="0" w:space="0" w:color="auto"/>
                <w:right w:val="none" w:sz="0" w:space="0" w:color="auto"/>
              </w:divBdr>
              <w:divsChild>
                <w:div w:id="1174223396">
                  <w:marLeft w:val="-100"/>
                  <w:marRight w:val="0"/>
                  <w:marTop w:val="0"/>
                  <w:marBottom w:val="22144"/>
                  <w:divBdr>
                    <w:top w:val="none" w:sz="0" w:space="0" w:color="auto"/>
                    <w:left w:val="none" w:sz="0" w:space="0" w:color="auto"/>
                    <w:bottom w:val="none" w:sz="0" w:space="0" w:color="auto"/>
                    <w:right w:val="none" w:sz="0" w:space="0" w:color="auto"/>
                  </w:divBdr>
                  <w:divsChild>
                    <w:div w:id="1174223414">
                      <w:marLeft w:val="0"/>
                      <w:marRight w:val="0"/>
                      <w:marTop w:val="0"/>
                      <w:marBottom w:val="0"/>
                      <w:divBdr>
                        <w:top w:val="none" w:sz="0" w:space="0" w:color="auto"/>
                        <w:left w:val="none" w:sz="0" w:space="0" w:color="auto"/>
                        <w:bottom w:val="none" w:sz="0" w:space="0" w:color="auto"/>
                        <w:right w:val="none" w:sz="0" w:space="0" w:color="auto"/>
                      </w:divBdr>
                      <w:divsChild>
                        <w:div w:id="11742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404">
      <w:marLeft w:val="0"/>
      <w:marRight w:val="0"/>
      <w:marTop w:val="0"/>
      <w:marBottom w:val="0"/>
      <w:divBdr>
        <w:top w:val="none" w:sz="0" w:space="0" w:color="auto"/>
        <w:left w:val="none" w:sz="0" w:space="0" w:color="auto"/>
        <w:bottom w:val="none" w:sz="0" w:space="0" w:color="auto"/>
        <w:right w:val="none" w:sz="0" w:space="0" w:color="auto"/>
      </w:divBdr>
      <w:divsChild>
        <w:div w:id="1174223391">
          <w:marLeft w:val="0"/>
          <w:marRight w:val="0"/>
          <w:marTop w:val="0"/>
          <w:marBottom w:val="0"/>
          <w:divBdr>
            <w:top w:val="none" w:sz="0" w:space="0" w:color="auto"/>
            <w:left w:val="none" w:sz="0" w:space="0" w:color="auto"/>
            <w:bottom w:val="none" w:sz="0" w:space="0" w:color="auto"/>
            <w:right w:val="none" w:sz="0" w:space="0" w:color="auto"/>
          </w:divBdr>
          <w:divsChild>
            <w:div w:id="1174223420">
              <w:marLeft w:val="0"/>
              <w:marRight w:val="0"/>
              <w:marTop w:val="0"/>
              <w:marBottom w:val="0"/>
              <w:divBdr>
                <w:top w:val="none" w:sz="0" w:space="0" w:color="auto"/>
                <w:left w:val="none" w:sz="0" w:space="0" w:color="auto"/>
                <w:bottom w:val="none" w:sz="0" w:space="0" w:color="auto"/>
                <w:right w:val="none" w:sz="0" w:space="0" w:color="auto"/>
              </w:divBdr>
              <w:divsChild>
                <w:div w:id="1174223411">
                  <w:marLeft w:val="-100"/>
                  <w:marRight w:val="0"/>
                  <w:marTop w:val="0"/>
                  <w:marBottom w:val="22144"/>
                  <w:divBdr>
                    <w:top w:val="none" w:sz="0" w:space="0" w:color="auto"/>
                    <w:left w:val="none" w:sz="0" w:space="0" w:color="auto"/>
                    <w:bottom w:val="none" w:sz="0" w:space="0" w:color="auto"/>
                    <w:right w:val="none" w:sz="0" w:space="0" w:color="auto"/>
                  </w:divBdr>
                  <w:divsChild>
                    <w:div w:id="1174223400">
                      <w:marLeft w:val="0"/>
                      <w:marRight w:val="0"/>
                      <w:marTop w:val="0"/>
                      <w:marBottom w:val="0"/>
                      <w:divBdr>
                        <w:top w:val="none" w:sz="0" w:space="0" w:color="auto"/>
                        <w:left w:val="none" w:sz="0" w:space="0" w:color="auto"/>
                        <w:bottom w:val="none" w:sz="0" w:space="0" w:color="auto"/>
                        <w:right w:val="none" w:sz="0" w:space="0" w:color="auto"/>
                      </w:divBdr>
                      <w:divsChild>
                        <w:div w:id="1174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406">
      <w:marLeft w:val="0"/>
      <w:marRight w:val="0"/>
      <w:marTop w:val="0"/>
      <w:marBottom w:val="0"/>
      <w:divBdr>
        <w:top w:val="none" w:sz="0" w:space="0" w:color="auto"/>
        <w:left w:val="none" w:sz="0" w:space="0" w:color="auto"/>
        <w:bottom w:val="none" w:sz="0" w:space="0" w:color="auto"/>
        <w:right w:val="none" w:sz="0" w:space="0" w:color="auto"/>
      </w:divBdr>
      <w:divsChild>
        <w:div w:id="1174223417">
          <w:marLeft w:val="0"/>
          <w:marRight w:val="0"/>
          <w:marTop w:val="0"/>
          <w:marBottom w:val="0"/>
          <w:divBdr>
            <w:top w:val="none" w:sz="0" w:space="0" w:color="auto"/>
            <w:left w:val="none" w:sz="0" w:space="0" w:color="auto"/>
            <w:bottom w:val="none" w:sz="0" w:space="0" w:color="auto"/>
            <w:right w:val="none" w:sz="0" w:space="0" w:color="auto"/>
          </w:divBdr>
          <w:divsChild>
            <w:div w:id="1174223405">
              <w:marLeft w:val="0"/>
              <w:marRight w:val="0"/>
              <w:marTop w:val="0"/>
              <w:marBottom w:val="0"/>
              <w:divBdr>
                <w:top w:val="none" w:sz="0" w:space="0" w:color="auto"/>
                <w:left w:val="none" w:sz="0" w:space="0" w:color="auto"/>
                <w:bottom w:val="none" w:sz="0" w:space="0" w:color="auto"/>
                <w:right w:val="none" w:sz="0" w:space="0" w:color="auto"/>
              </w:divBdr>
              <w:divsChild>
                <w:div w:id="1174223408">
                  <w:marLeft w:val="-100"/>
                  <w:marRight w:val="0"/>
                  <w:marTop w:val="0"/>
                  <w:marBottom w:val="22144"/>
                  <w:divBdr>
                    <w:top w:val="none" w:sz="0" w:space="0" w:color="auto"/>
                    <w:left w:val="none" w:sz="0" w:space="0" w:color="auto"/>
                    <w:bottom w:val="none" w:sz="0" w:space="0" w:color="auto"/>
                    <w:right w:val="none" w:sz="0" w:space="0" w:color="auto"/>
                  </w:divBdr>
                  <w:divsChild>
                    <w:div w:id="1174223398">
                      <w:marLeft w:val="0"/>
                      <w:marRight w:val="0"/>
                      <w:marTop w:val="0"/>
                      <w:marBottom w:val="0"/>
                      <w:divBdr>
                        <w:top w:val="none" w:sz="0" w:space="0" w:color="auto"/>
                        <w:left w:val="none" w:sz="0" w:space="0" w:color="auto"/>
                        <w:bottom w:val="none" w:sz="0" w:space="0" w:color="auto"/>
                        <w:right w:val="none" w:sz="0" w:space="0" w:color="auto"/>
                      </w:divBdr>
                      <w:divsChild>
                        <w:div w:id="11742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421">
      <w:marLeft w:val="0"/>
      <w:marRight w:val="0"/>
      <w:marTop w:val="0"/>
      <w:marBottom w:val="0"/>
      <w:divBdr>
        <w:top w:val="none" w:sz="0" w:space="0" w:color="auto"/>
        <w:left w:val="none" w:sz="0" w:space="0" w:color="auto"/>
        <w:bottom w:val="none" w:sz="0" w:space="0" w:color="auto"/>
        <w:right w:val="none" w:sz="0" w:space="0" w:color="auto"/>
      </w:divBdr>
      <w:divsChild>
        <w:div w:id="1174223410">
          <w:marLeft w:val="0"/>
          <w:marRight w:val="0"/>
          <w:marTop w:val="0"/>
          <w:marBottom w:val="0"/>
          <w:divBdr>
            <w:top w:val="none" w:sz="0" w:space="0" w:color="auto"/>
            <w:left w:val="none" w:sz="0" w:space="0" w:color="auto"/>
            <w:bottom w:val="none" w:sz="0" w:space="0" w:color="auto"/>
            <w:right w:val="none" w:sz="0" w:space="0" w:color="auto"/>
          </w:divBdr>
          <w:divsChild>
            <w:div w:id="1174223403">
              <w:marLeft w:val="0"/>
              <w:marRight w:val="0"/>
              <w:marTop w:val="0"/>
              <w:marBottom w:val="0"/>
              <w:divBdr>
                <w:top w:val="none" w:sz="0" w:space="0" w:color="auto"/>
                <w:left w:val="none" w:sz="0" w:space="0" w:color="auto"/>
                <w:bottom w:val="none" w:sz="0" w:space="0" w:color="auto"/>
                <w:right w:val="none" w:sz="0" w:space="0" w:color="auto"/>
              </w:divBdr>
              <w:divsChild>
                <w:div w:id="1174223413">
                  <w:marLeft w:val="-100"/>
                  <w:marRight w:val="0"/>
                  <w:marTop w:val="0"/>
                  <w:marBottom w:val="22144"/>
                  <w:divBdr>
                    <w:top w:val="none" w:sz="0" w:space="0" w:color="auto"/>
                    <w:left w:val="none" w:sz="0" w:space="0" w:color="auto"/>
                    <w:bottom w:val="none" w:sz="0" w:space="0" w:color="auto"/>
                    <w:right w:val="none" w:sz="0" w:space="0" w:color="auto"/>
                  </w:divBdr>
                  <w:divsChild>
                    <w:div w:id="1174223407">
                      <w:marLeft w:val="0"/>
                      <w:marRight w:val="0"/>
                      <w:marTop w:val="0"/>
                      <w:marBottom w:val="0"/>
                      <w:divBdr>
                        <w:top w:val="none" w:sz="0" w:space="0" w:color="auto"/>
                        <w:left w:val="none" w:sz="0" w:space="0" w:color="auto"/>
                        <w:bottom w:val="none" w:sz="0" w:space="0" w:color="auto"/>
                        <w:right w:val="none" w:sz="0" w:space="0" w:color="auto"/>
                      </w:divBdr>
                      <w:divsChild>
                        <w:div w:id="11742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423">
      <w:marLeft w:val="0"/>
      <w:marRight w:val="0"/>
      <w:marTop w:val="0"/>
      <w:marBottom w:val="0"/>
      <w:divBdr>
        <w:top w:val="none" w:sz="0" w:space="0" w:color="auto"/>
        <w:left w:val="none" w:sz="0" w:space="0" w:color="auto"/>
        <w:bottom w:val="none" w:sz="0" w:space="0" w:color="auto"/>
        <w:right w:val="none" w:sz="0" w:space="0" w:color="auto"/>
      </w:divBdr>
      <w:divsChild>
        <w:div w:id="1174223409">
          <w:marLeft w:val="0"/>
          <w:marRight w:val="0"/>
          <w:marTop w:val="0"/>
          <w:marBottom w:val="0"/>
          <w:divBdr>
            <w:top w:val="none" w:sz="0" w:space="0" w:color="auto"/>
            <w:left w:val="none" w:sz="0" w:space="0" w:color="auto"/>
            <w:bottom w:val="none" w:sz="0" w:space="0" w:color="auto"/>
            <w:right w:val="none" w:sz="0" w:space="0" w:color="auto"/>
          </w:divBdr>
          <w:divsChild>
            <w:div w:id="1174223422">
              <w:marLeft w:val="0"/>
              <w:marRight w:val="0"/>
              <w:marTop w:val="0"/>
              <w:marBottom w:val="0"/>
              <w:divBdr>
                <w:top w:val="none" w:sz="0" w:space="0" w:color="auto"/>
                <w:left w:val="none" w:sz="0" w:space="0" w:color="auto"/>
                <w:bottom w:val="none" w:sz="0" w:space="0" w:color="auto"/>
                <w:right w:val="none" w:sz="0" w:space="0" w:color="auto"/>
              </w:divBdr>
              <w:divsChild>
                <w:div w:id="1174223415">
                  <w:marLeft w:val="-100"/>
                  <w:marRight w:val="0"/>
                  <w:marTop w:val="0"/>
                  <w:marBottom w:val="22144"/>
                  <w:divBdr>
                    <w:top w:val="none" w:sz="0" w:space="0" w:color="auto"/>
                    <w:left w:val="none" w:sz="0" w:space="0" w:color="auto"/>
                    <w:bottom w:val="none" w:sz="0" w:space="0" w:color="auto"/>
                    <w:right w:val="none" w:sz="0" w:space="0" w:color="auto"/>
                  </w:divBdr>
                  <w:divsChild>
                    <w:div w:id="1174223416">
                      <w:marLeft w:val="0"/>
                      <w:marRight w:val="0"/>
                      <w:marTop w:val="0"/>
                      <w:marBottom w:val="0"/>
                      <w:divBdr>
                        <w:top w:val="none" w:sz="0" w:space="0" w:color="auto"/>
                        <w:left w:val="none" w:sz="0" w:space="0" w:color="auto"/>
                        <w:bottom w:val="none" w:sz="0" w:space="0" w:color="auto"/>
                        <w:right w:val="none" w:sz="0" w:space="0" w:color="auto"/>
                      </w:divBdr>
                      <w:divsChild>
                        <w:div w:id="11742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4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chayev.ua/tools_en.htm" TargetMode="External"/><Relationship Id="rId3" Type="http://schemas.openxmlformats.org/officeDocument/2006/relationships/webSettings" Target="webSettings.xml"/><Relationship Id="rId7" Type="http://schemas.openxmlformats.org/officeDocument/2006/relationships/hyperlink" Target="http://nechayev.ua/tools_e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chayev.ua/tools_en.htm" TargetMode="External"/><Relationship Id="rId11" Type="http://schemas.openxmlformats.org/officeDocument/2006/relationships/theme" Target="theme/theme1.xml"/><Relationship Id="rId5" Type="http://schemas.openxmlformats.org/officeDocument/2006/relationships/hyperlink" Target="http://nechayev.ua/tools_en.htm" TargetMode="External"/><Relationship Id="rId10" Type="http://schemas.openxmlformats.org/officeDocument/2006/relationships/fontTable" Target="fontTable.xml"/><Relationship Id="rId4" Type="http://schemas.openxmlformats.org/officeDocument/2006/relationships/hyperlink" Target="http://nechayev.ua/tools_en.htm" TargetMode="External"/><Relationship Id="rId9" Type="http://schemas.openxmlformats.org/officeDocument/2006/relationships/hyperlink" Target="http://nechayev.ua/tools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18</TotalTime>
  <Pages>1</Pages>
  <Words>1091</Words>
  <Characters>6219</Characters>
  <Application>Microsoft Office Word</Application>
  <DocSecurity>0</DocSecurity>
  <Lines>0</Lines>
  <Paragraphs>0</Paragraphs>
  <ScaleCrop>false</ScaleCrop>
  <Company>Grizli777</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Долюк</dc:creator>
  <cp:keywords/>
  <dc:description/>
  <cp:lastModifiedBy>ur4</cp:lastModifiedBy>
  <cp:revision>11</cp:revision>
  <dcterms:created xsi:type="dcterms:W3CDTF">2016-05-30T07:24:00Z</dcterms:created>
  <dcterms:modified xsi:type="dcterms:W3CDTF">2016-05-30T08:06:00Z</dcterms:modified>
</cp:coreProperties>
</file>