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3A5F"/>
          <w:sz w:val="84"/>
        </w:rPr>
        <w:t>EduSense</w:t>
      </w:r>
    </w:p>
    <w:p>
      <w:pPr>
        <w:jc w:val="center"/>
      </w:pPr>
      <w:r>
        <w:rPr>
          <w:b/>
          <w:color w:val="F59E0B"/>
          <w:sz w:val="40"/>
        </w:rPr>
        <w:t>AI-Powered Student Early Warning System</w:t>
      </w:r>
    </w:p>
    <w:p/>
    <w:p>
      <w:pPr>
        <w:jc w:val="center"/>
      </w:pPr>
      <w:r>
        <w:rPr>
          <w:i/>
          <w:color w:val="6B7280"/>
          <w:sz w:val="28"/>
        </w:rPr>
        <w:t>Client Briefing &amp; System Overview</w:t>
      </w:r>
    </w:p>
    <w:p/>
    <w:p/>
    <w:p>
      <w:pPr>
        <w:jc w:val="center"/>
      </w:pPr>
      <w:r>
        <w:rPr>
          <w:color w:val="6B7280"/>
          <w:sz w:val="22"/>
        </w:rPr>
        <w:t>Prepared: June 03, 2026</w:t>
      </w:r>
    </w:p>
    <w:p>
      <w:r>
        <w:br w:type="page"/>
      </w:r>
    </w:p>
    <w:p>
      <w:pPr>
        <w:spacing w:before="360" w:after="80"/>
      </w:pPr>
      <w:r>
        <w:rPr>
          <w:b/>
          <w:color w:val="1E3A5F"/>
          <w:sz w:val="36"/>
        </w:rPr>
        <w:t>1. Executive Summary</w:t>
      </w:r>
    </w:p>
    <w:p>
      <w:pPr>
        <w:pBdr>
          <w:bottom w:val="single" w:sz="6" w:space="1" w:color="1e3a5f"/>
        </w:pBdr>
        <w:spacing w:after="200" w:before="40"/>
      </w:pPr>
    </w:p>
    <w:p>
      <w:pPr>
        <w:spacing w:after="120"/>
      </w:pPr>
      <w:r>
        <w:rPr>
          <w:b w:val="0"/>
          <w:i w:val="0"/>
          <w:color w:val="374151"/>
          <w:sz w:val="22"/>
        </w:rPr>
        <w:t>EduSense is an AI-driven Student Early Warning System (EWS) designed to help educational institutions identify students who are at risk of underperforming or dropping out — before it is too late. The platform combines machine learning, real-time analytics, and a role-based web interface to give academic advisors the insights they need to intervene proactively and give students visibility into their own academic health.</w:t>
      </w:r>
    </w:p>
    <w:p>
      <w:pPr>
        <w:spacing w:after="120"/>
      </w:pPr>
      <w:r>
        <w:rPr>
          <w:b w:val="0"/>
          <w:i w:val="0"/>
          <w:color w:val="374151"/>
          <w:sz w:val="22"/>
        </w:rPr>
        <w:t>Built on the Open University Learning Analytics Dataset (OULAD), the system processes over 32,000 student records across 7 academic modules, predicting risk with a trained Random Forest model and surfacing that intelligence through an intuitive dashboard.</w:t>
      </w:r>
    </w:p>
    <w:p/>
    <w:p>
      <w:pPr>
        <w:spacing w:before="360" w:after="80"/>
      </w:pPr>
      <w:r>
        <w:rPr>
          <w:b/>
          <w:color w:val="1E3A5F"/>
          <w:sz w:val="36"/>
        </w:rPr>
        <w:t>2. The Problem Being Solved</w:t>
      </w:r>
    </w:p>
    <w:p>
      <w:pPr>
        <w:pBdr>
          <w:bottom w:val="single" w:sz="6" w:space="1" w:color="1e3a5f"/>
        </w:pBdr>
        <w:spacing w:after="200" w:before="40"/>
      </w:pPr>
    </w:p>
    <w:p>
      <w:pPr>
        <w:spacing w:after="120"/>
      </w:pPr>
      <w:r>
        <w:rPr>
          <w:b w:val="0"/>
          <w:i w:val="0"/>
          <w:color w:val="374151"/>
          <w:sz w:val="22"/>
        </w:rPr>
        <w:t>Educational institutions commonly face these challenges:</w:t>
      </w:r>
    </w:p>
    <w:p>
      <w:pPr>
        <w:pStyle w:val="ListBullet"/>
        <w:spacing w:after="60"/>
      </w:pPr>
      <w:r>
        <w:rPr>
          <w:color w:val="374151"/>
          <w:sz w:val="22"/>
        </w:rPr>
        <w:t>Students fall behind gradually — early warning signs go unnoticed until it is too late</w:t>
      </w:r>
    </w:p>
    <w:p>
      <w:pPr>
        <w:pStyle w:val="ListBullet"/>
        <w:spacing w:after="60"/>
      </w:pPr>
      <w:r>
        <w:rPr>
          <w:color w:val="374151"/>
          <w:sz w:val="22"/>
        </w:rPr>
        <w:t>Advisors manage large student cohorts without data-driven tools to prioritise attention</w:t>
      </w:r>
    </w:p>
    <w:p>
      <w:pPr>
        <w:pStyle w:val="ListBullet"/>
        <w:spacing w:after="60"/>
      </w:pPr>
      <w:r>
        <w:rPr>
          <w:color w:val="374151"/>
          <w:sz w:val="22"/>
        </w:rPr>
        <w:t>No single view connecting engagement, assessment performance, and inactivity patterns</w:t>
      </w:r>
    </w:p>
    <w:p>
      <w:pPr>
        <w:pStyle w:val="ListBullet"/>
        <w:spacing w:after="60"/>
      </w:pPr>
      <w:r>
        <w:rPr>
          <w:color w:val="374151"/>
          <w:sz w:val="22"/>
        </w:rPr>
        <w:t>Students themselves lack visibility into how their behaviour correlates with risk</w:t>
      </w:r>
    </w:p>
    <w:p>
      <w:pPr>
        <w:pStyle w:val="ListBullet"/>
        <w:spacing w:after="60"/>
      </w:pPr>
      <w:r>
        <w:rPr>
          <w:color w:val="374151"/>
          <w:sz w:val="22"/>
        </w:rPr>
        <w:t>Interventions are reactive rather than proactive, reducing their effectiveness</w:t>
      </w:r>
    </w:p>
    <w:p>
      <w:pPr>
        <w:spacing w:after="120"/>
      </w:pPr>
      <w:r>
        <w:rPr>
          <w:b/>
          <w:i w:val="0"/>
          <w:color w:val="374151"/>
          <w:sz w:val="22"/>
        </w:rPr>
        <w:br/>
        <w:t>EduSense addresses all five of these directly.</w:t>
      </w:r>
    </w:p>
    <w:p/>
    <w:p>
      <w:pPr>
        <w:spacing w:before="360" w:after="80"/>
      </w:pPr>
      <w:r>
        <w:rPr>
          <w:b/>
          <w:color w:val="1E3A5F"/>
          <w:sz w:val="36"/>
        </w:rPr>
        <w:t>3. System Architecture</w:t>
      </w:r>
    </w:p>
    <w:p>
      <w:pPr>
        <w:pBdr>
          <w:bottom w:val="single" w:sz="6" w:space="1" w:color="1e3a5f"/>
        </w:pBdr>
        <w:spacing w:after="200" w:before="40"/>
      </w:pPr>
    </w:p>
    <w:p>
      <w:pPr>
        <w:spacing w:after="120"/>
      </w:pPr>
      <w:r>
        <w:rPr>
          <w:b w:val="0"/>
          <w:i w:val="0"/>
          <w:color w:val="374151"/>
          <w:sz w:val="22"/>
        </w:rPr>
        <w:t>EduSense is structured as a three-tier architecture. Each layer has a distinct responsibility and communicates through well-defined interfaces.</w:t>
      </w:r>
    </w:p>
    <w:p>
      <w:pPr>
        <w:spacing w:before="240" w:after="80"/>
      </w:pPr>
      <w:r>
        <w:rPr>
          <w:b/>
          <w:color w:val="1E3A5F"/>
          <w:sz w:val="28"/>
        </w:rPr>
        <w:t>3.1  Machine Learning Pipeline</w:t>
      </w:r>
    </w:p>
    <w:p>
      <w:pPr>
        <w:spacing w:after="120"/>
      </w:pPr>
      <w:r>
        <w:rPr>
          <w:b w:val="0"/>
          <w:i w:val="0"/>
          <w:color w:val="374151"/>
          <w:sz w:val="22"/>
        </w:rPr>
        <w:t>The ML pipeline is the intelligence engine of the platform. It runs as a standalone Python process that reads raw institutional data, engineers features, trains a classification model, and exports the trained artefacts for the backend to consume.</w:t>
      </w:r>
    </w:p>
    <w:tbl>
      <w:tblPr>
        <w:tblStyle w:val="TableGrid"/>
        <w:tblW w:type="auto" w:w="0"/>
        <w:jc w:val="left"/>
        <w:tblLook w:firstColumn="1" w:firstRow="1" w:lastColumn="0" w:lastRow="0" w:noHBand="0" w:noVBand="1" w:val="04A0"/>
      </w:tblPr>
      <w:tblGrid>
        <w:gridCol w:w="3022"/>
        <w:gridCol w:w="3022"/>
        <w:gridCol w:w="3022"/>
      </w:tblGrid>
      <w:tr>
        <w:tc>
          <w:tcPr>
            <w:tcW w:type="dxa" w:w="2304"/>
            <w:shd w:val="clear" w:color="auto" w:fill="1e3a5f"/>
            <w:vAlign w:val="center"/>
          </w:tcPr>
          <w:p>
            <w:r>
              <w:rPr>
                <w:b/>
                <w:color w:val="FFFFFF"/>
                <w:sz w:val="20"/>
              </w:rPr>
              <w:t>Component</w:t>
            </w:r>
          </w:p>
        </w:tc>
        <w:tc>
          <w:tcPr>
            <w:tcW w:type="dxa" w:w="2592"/>
            <w:shd w:val="clear" w:color="auto" w:fill="1e3a5f"/>
            <w:vAlign w:val="center"/>
          </w:tcPr>
          <w:p>
            <w:r>
              <w:rPr>
                <w:b/>
                <w:color w:val="FFFFFF"/>
                <w:sz w:val="20"/>
              </w:rPr>
              <w:t>File</w:t>
            </w:r>
          </w:p>
        </w:tc>
        <w:tc>
          <w:tcPr>
            <w:tcW w:type="dxa" w:w="4896"/>
            <w:shd w:val="clear" w:color="auto" w:fill="1e3a5f"/>
            <w:vAlign w:val="center"/>
          </w:tcPr>
          <w:p>
            <w:r>
              <w:rPr>
                <w:b/>
                <w:color w:val="FFFFFF"/>
                <w:sz w:val="20"/>
              </w:rPr>
              <w:t>Purpose</w:t>
            </w:r>
          </w:p>
        </w:tc>
      </w:tr>
      <w:tr>
        <w:tc>
          <w:tcPr>
            <w:tcW w:type="dxa" w:w="2304"/>
            <w:shd w:val="clear" w:color="auto" w:fill="f0f4f8"/>
          </w:tcPr>
          <w:p>
            <w:r>
              <w:rPr>
                <w:color w:val="374151"/>
                <w:sz w:val="20"/>
              </w:rPr>
              <w:t>Data Preprocessing</w:t>
            </w:r>
          </w:p>
        </w:tc>
        <w:tc>
          <w:tcPr>
            <w:tcW w:type="dxa" w:w="2592"/>
            <w:shd w:val="clear" w:color="auto" w:fill="f0f4f8"/>
          </w:tcPr>
          <w:p>
            <w:r>
              <w:rPr>
                <w:color w:val="374151"/>
                <w:sz w:val="20"/>
              </w:rPr>
              <w:t>ml/preprocessing.py</w:t>
            </w:r>
          </w:p>
        </w:tc>
        <w:tc>
          <w:tcPr>
            <w:tcW w:type="dxa" w:w="4896"/>
            <w:shd w:val="clear" w:color="auto" w:fill="f0f4f8"/>
          </w:tcPr>
          <w:p>
            <w:r>
              <w:rPr>
                <w:color w:val="374151"/>
                <w:sz w:val="20"/>
              </w:rPr>
              <w:t>Cleans raw OULAD CSVs, engineers risk features, outputs processed_data.csv</w:t>
            </w:r>
          </w:p>
        </w:tc>
      </w:tr>
      <w:tr>
        <w:tc>
          <w:tcPr>
            <w:tcW w:type="dxa" w:w="2304"/>
            <w:shd w:val="clear" w:color="auto" w:fill="ffffff"/>
          </w:tcPr>
          <w:p>
            <w:r>
              <w:rPr>
                <w:color w:val="374151"/>
                <w:sz w:val="20"/>
              </w:rPr>
              <w:t>Model Training</w:t>
            </w:r>
          </w:p>
        </w:tc>
        <w:tc>
          <w:tcPr>
            <w:tcW w:type="dxa" w:w="2592"/>
            <w:shd w:val="clear" w:color="auto" w:fill="ffffff"/>
          </w:tcPr>
          <w:p>
            <w:r>
              <w:rPr>
                <w:color w:val="374151"/>
                <w:sz w:val="20"/>
              </w:rPr>
              <w:t>ml/train_model.py</w:t>
            </w:r>
          </w:p>
        </w:tc>
        <w:tc>
          <w:tcPr>
            <w:tcW w:type="dxa" w:w="4896"/>
            <w:shd w:val="clear" w:color="auto" w:fill="ffffff"/>
          </w:tcPr>
          <w:p>
            <w:r>
              <w:rPr>
                <w:color w:val="374151"/>
                <w:sz w:val="20"/>
              </w:rPr>
              <w:t>Trains Random Forest classifier, evaluates accuracy, saves model + encoders as .pkl files</w:t>
            </w:r>
          </w:p>
        </w:tc>
      </w:tr>
      <w:tr>
        <w:tc>
          <w:tcPr>
            <w:tcW w:type="dxa" w:w="2304"/>
            <w:shd w:val="clear" w:color="auto" w:fill="f0f4f8"/>
          </w:tcPr>
          <w:p>
            <w:r>
              <w:rPr>
                <w:color w:val="374151"/>
                <w:sz w:val="20"/>
              </w:rPr>
              <w:t>Trained Model</w:t>
            </w:r>
          </w:p>
        </w:tc>
        <w:tc>
          <w:tcPr>
            <w:tcW w:type="dxa" w:w="2592"/>
            <w:shd w:val="clear" w:color="auto" w:fill="f0f4f8"/>
          </w:tcPr>
          <w:p>
            <w:r>
              <w:rPr>
                <w:color w:val="374151"/>
                <w:sz w:val="20"/>
              </w:rPr>
              <w:t>ml/student_ews_model.pkl</w:t>
            </w:r>
          </w:p>
        </w:tc>
        <w:tc>
          <w:tcPr>
            <w:tcW w:type="dxa" w:w="4896"/>
            <w:shd w:val="clear" w:color="auto" w:fill="f0f4f8"/>
          </w:tcPr>
          <w:p>
            <w:r>
              <w:rPr>
                <w:color w:val="374151"/>
                <w:sz w:val="20"/>
              </w:rPr>
              <w:t>Serialised Random Forest model used at prediction time</w:t>
            </w:r>
          </w:p>
        </w:tc>
      </w:tr>
      <w:tr>
        <w:tc>
          <w:tcPr>
            <w:tcW w:type="dxa" w:w="2304"/>
            <w:shd w:val="clear" w:color="auto" w:fill="ffffff"/>
          </w:tcPr>
          <w:p>
            <w:r>
              <w:rPr>
                <w:color w:val="374151"/>
                <w:sz w:val="20"/>
              </w:rPr>
              <w:t>Label Encoders</w:t>
            </w:r>
          </w:p>
        </w:tc>
        <w:tc>
          <w:tcPr>
            <w:tcW w:type="dxa" w:w="2592"/>
            <w:shd w:val="clear" w:color="auto" w:fill="ffffff"/>
          </w:tcPr>
          <w:p>
            <w:r>
              <w:rPr>
                <w:color w:val="374151"/>
                <w:sz w:val="20"/>
              </w:rPr>
              <w:t>ml/label_encoders.pkl</w:t>
            </w:r>
          </w:p>
        </w:tc>
        <w:tc>
          <w:tcPr>
            <w:tcW w:type="dxa" w:w="4896"/>
            <w:shd w:val="clear" w:color="auto" w:fill="ffffff"/>
          </w:tcPr>
          <w:p>
            <w:r>
              <w:rPr>
                <w:color w:val="374151"/>
                <w:sz w:val="20"/>
              </w:rPr>
              <w:t>Categorical feature encoders ensuring consistency between training and inference</w:t>
            </w:r>
          </w:p>
        </w:tc>
      </w:tr>
    </w:tbl>
    <w:p/>
    <w:p>
      <w:pPr>
        <w:spacing w:before="240" w:after="80"/>
      </w:pPr>
      <w:r>
        <w:rPr>
          <w:b/>
          <w:color w:val="1E3A5F"/>
          <w:sz w:val="28"/>
        </w:rPr>
        <w:t>3.2  Backend API (Django REST Framework)</w:t>
      </w:r>
    </w:p>
    <w:p>
      <w:pPr>
        <w:spacing w:after="120"/>
      </w:pPr>
      <w:r>
        <w:rPr>
          <w:b w:val="0"/>
          <w:i w:val="0"/>
          <w:color w:val="374151"/>
          <w:sz w:val="22"/>
        </w:rPr>
        <w:t>The backend is a RESTful API built with Django 5.2 and Django REST Framework. It handles authentication, data storage, and all business logic. It exposes structured JSON endpoints consumed by the frontend.</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1e3a5f"/>
            <w:vAlign w:val="center"/>
          </w:tcPr>
          <w:p>
            <w:r>
              <w:rPr>
                <w:b/>
                <w:color w:val="FFFFFF"/>
                <w:sz w:val="20"/>
              </w:rPr>
              <w:t>Endpoint</w:t>
            </w:r>
          </w:p>
        </w:tc>
        <w:tc>
          <w:tcPr>
            <w:tcW w:type="dxa" w:w="1440"/>
            <w:shd w:val="clear" w:color="auto" w:fill="1e3a5f"/>
            <w:vAlign w:val="center"/>
          </w:tcPr>
          <w:p>
            <w:r>
              <w:rPr>
                <w:b/>
                <w:color w:val="FFFFFF"/>
                <w:sz w:val="20"/>
              </w:rPr>
              <w:t>Method</w:t>
            </w:r>
          </w:p>
        </w:tc>
        <w:tc>
          <w:tcPr>
            <w:tcW w:type="dxa" w:w="5472"/>
            <w:shd w:val="clear" w:color="auto" w:fill="1e3a5f"/>
            <w:vAlign w:val="center"/>
          </w:tcPr>
          <w:p>
            <w:r>
              <w:rPr>
                <w:b/>
                <w:color w:val="FFFFFF"/>
                <w:sz w:val="20"/>
              </w:rPr>
              <w:t>Description</w:t>
            </w:r>
          </w:p>
        </w:tc>
      </w:tr>
      <w:tr>
        <w:tc>
          <w:tcPr>
            <w:tcW w:type="dxa" w:w="2880"/>
            <w:shd w:val="clear" w:color="auto" w:fill="f0f4f8"/>
          </w:tcPr>
          <w:p>
            <w:r>
              <w:rPr>
                <w:color w:val="374151"/>
                <w:sz w:val="20"/>
              </w:rPr>
              <w:t>/api/login/</w:t>
            </w:r>
          </w:p>
        </w:tc>
        <w:tc>
          <w:tcPr>
            <w:tcW w:type="dxa" w:w="1440"/>
            <w:shd w:val="clear" w:color="auto" w:fill="f0f4f8"/>
          </w:tcPr>
          <w:p>
            <w:r>
              <w:rPr>
                <w:color w:val="374151"/>
                <w:sz w:val="20"/>
              </w:rPr>
              <w:t>POST</w:t>
            </w:r>
          </w:p>
        </w:tc>
        <w:tc>
          <w:tcPr>
            <w:tcW w:type="dxa" w:w="5472"/>
            <w:shd w:val="clear" w:color="auto" w:fill="f0f4f8"/>
          </w:tcPr>
          <w:p>
            <w:r>
              <w:rPr>
                <w:color w:val="374151"/>
                <w:sz w:val="20"/>
              </w:rPr>
              <w:t>Authenticate user, return token + role</w:t>
            </w:r>
          </w:p>
        </w:tc>
      </w:tr>
      <w:tr>
        <w:tc>
          <w:tcPr>
            <w:tcW w:type="dxa" w:w="2880"/>
            <w:shd w:val="clear" w:color="auto" w:fill="ffffff"/>
          </w:tcPr>
          <w:p>
            <w:r>
              <w:rPr>
                <w:color w:val="374151"/>
                <w:sz w:val="20"/>
              </w:rPr>
              <w:t>/api/register/</w:t>
            </w:r>
          </w:p>
        </w:tc>
        <w:tc>
          <w:tcPr>
            <w:tcW w:type="dxa" w:w="1440"/>
            <w:shd w:val="clear" w:color="auto" w:fill="ffffff"/>
          </w:tcPr>
          <w:p>
            <w:r>
              <w:rPr>
                <w:color w:val="374151"/>
                <w:sz w:val="20"/>
              </w:rPr>
              <w:t>POST</w:t>
            </w:r>
          </w:p>
        </w:tc>
        <w:tc>
          <w:tcPr>
            <w:tcW w:type="dxa" w:w="5472"/>
            <w:shd w:val="clear" w:color="auto" w:fill="ffffff"/>
          </w:tcPr>
          <w:p>
            <w:r>
              <w:rPr>
                <w:color w:val="374151"/>
                <w:sz w:val="20"/>
              </w:rPr>
              <w:t>Create new student or advisor account</w:t>
            </w:r>
          </w:p>
        </w:tc>
      </w:tr>
      <w:tr>
        <w:tc>
          <w:tcPr>
            <w:tcW w:type="dxa" w:w="2880"/>
            <w:shd w:val="clear" w:color="auto" w:fill="f0f4f8"/>
          </w:tcPr>
          <w:p>
            <w:r>
              <w:rPr>
                <w:color w:val="374151"/>
                <w:sz w:val="20"/>
              </w:rPr>
              <w:t>/api/students/</w:t>
            </w:r>
          </w:p>
        </w:tc>
        <w:tc>
          <w:tcPr>
            <w:tcW w:type="dxa" w:w="1440"/>
            <w:shd w:val="clear" w:color="auto" w:fill="f0f4f8"/>
          </w:tcPr>
          <w:p>
            <w:r>
              <w:rPr>
                <w:color w:val="374151"/>
                <w:sz w:val="20"/>
              </w:rPr>
              <w:t>GET</w:t>
            </w:r>
          </w:p>
        </w:tc>
        <w:tc>
          <w:tcPr>
            <w:tcW w:type="dxa" w:w="5472"/>
            <w:shd w:val="clear" w:color="auto" w:fill="f0f4f8"/>
          </w:tcPr>
          <w:p>
            <w:r>
              <w:rPr>
                <w:color w:val="374151"/>
                <w:sz w:val="20"/>
              </w:rPr>
              <w:t>List all students (advisor) or own record (student)</w:t>
            </w:r>
          </w:p>
        </w:tc>
      </w:tr>
      <w:tr>
        <w:tc>
          <w:tcPr>
            <w:tcW w:type="dxa" w:w="2880"/>
            <w:shd w:val="clear" w:color="auto" w:fill="ffffff"/>
          </w:tcPr>
          <w:p>
            <w:r>
              <w:rPr>
                <w:color w:val="374151"/>
                <w:sz w:val="20"/>
              </w:rPr>
              <w:t>/api/stats/</w:t>
            </w:r>
          </w:p>
        </w:tc>
        <w:tc>
          <w:tcPr>
            <w:tcW w:type="dxa" w:w="1440"/>
            <w:shd w:val="clear" w:color="auto" w:fill="ffffff"/>
          </w:tcPr>
          <w:p>
            <w:r>
              <w:rPr>
                <w:color w:val="374151"/>
                <w:sz w:val="20"/>
              </w:rPr>
              <w:t>GET</w:t>
            </w:r>
          </w:p>
        </w:tc>
        <w:tc>
          <w:tcPr>
            <w:tcW w:type="dxa" w:w="5472"/>
            <w:shd w:val="clear" w:color="auto" w:fill="ffffff"/>
          </w:tcPr>
          <w:p>
            <w:r>
              <w:rPr>
                <w:color w:val="374151"/>
                <w:sz w:val="20"/>
              </w:rPr>
              <w:t>Aggregate dashboard statistics</w:t>
            </w:r>
          </w:p>
        </w:tc>
      </w:tr>
      <w:tr>
        <w:tc>
          <w:tcPr>
            <w:tcW w:type="dxa" w:w="2880"/>
            <w:shd w:val="clear" w:color="auto" w:fill="f0f4f8"/>
          </w:tcPr>
          <w:p>
            <w:r>
              <w:rPr>
                <w:color w:val="374151"/>
                <w:sz w:val="20"/>
              </w:rPr>
              <w:t>/api/course-analytics/</w:t>
            </w:r>
          </w:p>
        </w:tc>
        <w:tc>
          <w:tcPr>
            <w:tcW w:type="dxa" w:w="1440"/>
            <w:shd w:val="clear" w:color="auto" w:fill="f0f4f8"/>
          </w:tcPr>
          <w:p>
            <w:r>
              <w:rPr>
                <w:color w:val="374151"/>
                <w:sz w:val="20"/>
              </w:rPr>
              <w:t>GET</w:t>
            </w:r>
          </w:p>
        </w:tc>
        <w:tc>
          <w:tcPr>
            <w:tcW w:type="dxa" w:w="5472"/>
            <w:shd w:val="clear" w:color="auto" w:fill="f0f4f8"/>
          </w:tcPr>
          <w:p>
            <w:r>
              <w:rPr>
                <w:color w:val="374151"/>
                <w:sz w:val="20"/>
              </w:rPr>
              <w:t>Module and region breakdown with heatmap data</w:t>
            </w:r>
          </w:p>
        </w:tc>
      </w:tr>
      <w:tr>
        <w:tc>
          <w:tcPr>
            <w:tcW w:type="dxa" w:w="2880"/>
            <w:shd w:val="clear" w:color="auto" w:fill="ffffff"/>
          </w:tcPr>
          <w:p>
            <w:r>
              <w:rPr>
                <w:color w:val="374151"/>
                <w:sz w:val="20"/>
              </w:rPr>
              <w:t>/api/messages/</w:t>
            </w:r>
          </w:p>
        </w:tc>
        <w:tc>
          <w:tcPr>
            <w:tcW w:type="dxa" w:w="1440"/>
            <w:shd w:val="clear" w:color="auto" w:fill="ffffff"/>
          </w:tcPr>
          <w:p>
            <w:r>
              <w:rPr>
                <w:color w:val="374151"/>
                <w:sz w:val="20"/>
              </w:rPr>
              <w:t>GET/POST</w:t>
            </w:r>
          </w:p>
        </w:tc>
        <w:tc>
          <w:tcPr>
            <w:tcW w:type="dxa" w:w="5472"/>
            <w:shd w:val="clear" w:color="auto" w:fill="ffffff"/>
          </w:tcPr>
          <w:p>
            <w:r>
              <w:rPr>
                <w:color w:val="374151"/>
                <w:sz w:val="20"/>
              </w:rPr>
              <w:t>Advisor-student communication thread</w:t>
            </w:r>
          </w:p>
        </w:tc>
      </w:tr>
      <w:tr>
        <w:tc>
          <w:tcPr>
            <w:tcW w:type="dxa" w:w="2880"/>
            <w:shd w:val="clear" w:color="auto" w:fill="f0f4f8"/>
          </w:tcPr>
          <w:p>
            <w:r>
              <w:rPr>
                <w:color w:val="374151"/>
                <w:sz w:val="20"/>
              </w:rPr>
              <w:t>/api/interventions/</w:t>
            </w:r>
          </w:p>
        </w:tc>
        <w:tc>
          <w:tcPr>
            <w:tcW w:type="dxa" w:w="1440"/>
            <w:shd w:val="clear" w:color="auto" w:fill="f0f4f8"/>
          </w:tcPr>
          <w:p>
            <w:r>
              <w:rPr>
                <w:color w:val="374151"/>
                <w:sz w:val="20"/>
              </w:rPr>
              <w:t>GET/POST/PATCH</w:t>
            </w:r>
          </w:p>
        </w:tc>
        <w:tc>
          <w:tcPr>
            <w:tcW w:type="dxa" w:w="5472"/>
            <w:shd w:val="clear" w:color="auto" w:fill="f0f4f8"/>
          </w:tcPr>
          <w:p>
            <w:r>
              <w:rPr>
                <w:color w:val="374151"/>
                <w:sz w:val="20"/>
              </w:rPr>
              <w:t>Track and update intervention status</w:t>
            </w:r>
          </w:p>
        </w:tc>
      </w:tr>
      <w:tr>
        <w:tc>
          <w:tcPr>
            <w:tcW w:type="dxa" w:w="2880"/>
            <w:shd w:val="clear" w:color="auto" w:fill="ffffff"/>
          </w:tcPr>
          <w:p>
            <w:r>
              <w:rPr>
                <w:color w:val="374151"/>
                <w:sz w:val="20"/>
              </w:rPr>
              <w:t>/api/profile/</w:t>
            </w:r>
          </w:p>
        </w:tc>
        <w:tc>
          <w:tcPr>
            <w:tcW w:type="dxa" w:w="1440"/>
            <w:shd w:val="clear" w:color="auto" w:fill="ffffff"/>
          </w:tcPr>
          <w:p>
            <w:r>
              <w:rPr>
                <w:color w:val="374151"/>
                <w:sz w:val="20"/>
              </w:rPr>
              <w:t>GET/PUT/DELETE</w:t>
            </w:r>
          </w:p>
        </w:tc>
        <w:tc>
          <w:tcPr>
            <w:tcW w:type="dxa" w:w="5472"/>
            <w:shd w:val="clear" w:color="auto" w:fill="ffffff"/>
          </w:tcPr>
          <w:p>
            <w:r>
              <w:rPr>
                <w:color w:val="374151"/>
                <w:sz w:val="20"/>
              </w:rPr>
              <w:t>Manage user profile</w:t>
            </w:r>
          </w:p>
        </w:tc>
      </w:tr>
    </w:tbl>
    <w:p/>
    <w:p>
      <w:pPr>
        <w:spacing w:before="240" w:after="80"/>
      </w:pPr>
      <w:r>
        <w:rPr>
          <w:b/>
          <w:color w:val="1E3A5F"/>
          <w:sz w:val="28"/>
        </w:rPr>
        <w:t>3.3  Frontend (React + Vite)</w:t>
      </w:r>
    </w:p>
    <w:p>
      <w:pPr>
        <w:spacing w:after="120"/>
      </w:pPr>
      <w:r>
        <w:rPr>
          <w:b w:val="0"/>
          <w:i w:val="0"/>
          <w:color w:val="374151"/>
          <w:sz w:val="22"/>
        </w:rPr>
        <w:t>The frontend is a single-page application built with React 19 and Vite. It provides two distinct interfaces depending on the user's role — a full analytics dashboard for advisors and a personal performance view for students.</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1e3a5f"/>
            <w:vAlign w:val="center"/>
          </w:tcPr>
          <w:p>
            <w:r>
              <w:rPr>
                <w:b/>
                <w:color w:val="FFFFFF"/>
                <w:sz w:val="20"/>
              </w:rPr>
              <w:t>Component</w:t>
            </w:r>
          </w:p>
        </w:tc>
        <w:tc>
          <w:tcPr>
            <w:tcW w:type="dxa" w:w="1440"/>
            <w:shd w:val="clear" w:color="auto" w:fill="1e3a5f"/>
            <w:vAlign w:val="center"/>
          </w:tcPr>
          <w:p>
            <w:r>
              <w:rPr>
                <w:b/>
                <w:color w:val="FFFFFF"/>
                <w:sz w:val="20"/>
              </w:rPr>
              <w:t>Role</w:t>
            </w:r>
          </w:p>
        </w:tc>
        <w:tc>
          <w:tcPr>
            <w:tcW w:type="dxa" w:w="5472"/>
            <w:shd w:val="clear" w:color="auto" w:fill="1e3a5f"/>
            <w:vAlign w:val="center"/>
          </w:tcPr>
          <w:p>
            <w:r>
              <w:rPr>
                <w:b/>
                <w:color w:val="FFFFFF"/>
                <w:sz w:val="20"/>
              </w:rPr>
              <w:t>What It Shows</w:t>
            </w:r>
          </w:p>
        </w:tc>
      </w:tr>
      <w:tr>
        <w:tc>
          <w:tcPr>
            <w:tcW w:type="dxa" w:w="2880"/>
            <w:shd w:val="clear" w:color="auto" w:fill="f0f4f8"/>
          </w:tcPr>
          <w:p>
            <w:r>
              <w:rPr>
                <w:color w:val="374151"/>
                <w:sz w:val="20"/>
              </w:rPr>
              <w:t>AdvisorOverview</w:t>
            </w:r>
          </w:p>
        </w:tc>
        <w:tc>
          <w:tcPr>
            <w:tcW w:type="dxa" w:w="1440"/>
            <w:shd w:val="clear" w:color="auto" w:fill="f0f4f8"/>
          </w:tcPr>
          <w:p>
            <w:r>
              <w:rPr>
                <w:color w:val="374151"/>
                <w:sz w:val="20"/>
              </w:rPr>
              <w:t>Advisor</w:t>
            </w:r>
          </w:p>
        </w:tc>
        <w:tc>
          <w:tcPr>
            <w:tcW w:type="dxa" w:w="5472"/>
            <w:shd w:val="clear" w:color="auto" w:fill="f0f4f8"/>
          </w:tcPr>
          <w:p>
            <w:r>
              <w:rPr>
                <w:color w:val="374151"/>
                <w:sz w:val="20"/>
              </w:rPr>
              <w:t>KPI cards, risk distribution chart, top at-risk students</w:t>
            </w:r>
          </w:p>
        </w:tc>
      </w:tr>
      <w:tr>
        <w:tc>
          <w:tcPr>
            <w:tcW w:type="dxa" w:w="2880"/>
            <w:shd w:val="clear" w:color="auto" w:fill="ffffff"/>
          </w:tcPr>
          <w:p>
            <w:r>
              <w:rPr>
                <w:color w:val="374151"/>
                <w:sz w:val="20"/>
              </w:rPr>
              <w:t>AdvisorStudents</w:t>
            </w:r>
          </w:p>
        </w:tc>
        <w:tc>
          <w:tcPr>
            <w:tcW w:type="dxa" w:w="1440"/>
            <w:shd w:val="clear" w:color="auto" w:fill="ffffff"/>
          </w:tcPr>
          <w:p>
            <w:r>
              <w:rPr>
                <w:color w:val="374151"/>
                <w:sz w:val="20"/>
              </w:rPr>
              <w:t>Advisor</w:t>
            </w:r>
          </w:p>
        </w:tc>
        <w:tc>
          <w:tcPr>
            <w:tcW w:type="dxa" w:w="5472"/>
            <w:shd w:val="clear" w:color="auto" w:fill="ffffff"/>
          </w:tcPr>
          <w:p>
            <w:r>
              <w:rPr>
                <w:color w:val="374151"/>
                <w:sz w:val="20"/>
              </w:rPr>
              <w:t>Searchable, paginated student list with risk badges</w:t>
            </w:r>
          </w:p>
        </w:tc>
      </w:tr>
      <w:tr>
        <w:tc>
          <w:tcPr>
            <w:tcW w:type="dxa" w:w="2880"/>
            <w:shd w:val="clear" w:color="auto" w:fill="f0f4f8"/>
          </w:tcPr>
          <w:p>
            <w:r>
              <w:rPr>
                <w:color w:val="374151"/>
                <w:sz w:val="20"/>
              </w:rPr>
              <w:t>AdvisorCommunications</w:t>
            </w:r>
          </w:p>
        </w:tc>
        <w:tc>
          <w:tcPr>
            <w:tcW w:type="dxa" w:w="1440"/>
            <w:shd w:val="clear" w:color="auto" w:fill="f0f4f8"/>
          </w:tcPr>
          <w:p>
            <w:r>
              <w:rPr>
                <w:color w:val="374151"/>
                <w:sz w:val="20"/>
              </w:rPr>
              <w:t>Advisor</w:t>
            </w:r>
          </w:p>
        </w:tc>
        <w:tc>
          <w:tcPr>
            <w:tcW w:type="dxa" w:w="5472"/>
            <w:shd w:val="clear" w:color="auto" w:fill="f0f4f8"/>
          </w:tcPr>
          <w:p>
            <w:r>
              <w:rPr>
                <w:color w:val="374151"/>
                <w:sz w:val="20"/>
              </w:rPr>
              <w:t>Messaging hub — send and read messages per student</w:t>
            </w:r>
          </w:p>
        </w:tc>
      </w:tr>
      <w:tr>
        <w:tc>
          <w:tcPr>
            <w:tcW w:type="dxa" w:w="2880"/>
            <w:shd w:val="clear" w:color="auto" w:fill="ffffff"/>
          </w:tcPr>
          <w:p>
            <w:r>
              <w:rPr>
                <w:color w:val="374151"/>
                <w:sz w:val="20"/>
              </w:rPr>
              <w:t>AdvisorCourseAnalytics</w:t>
            </w:r>
          </w:p>
        </w:tc>
        <w:tc>
          <w:tcPr>
            <w:tcW w:type="dxa" w:w="1440"/>
            <w:shd w:val="clear" w:color="auto" w:fill="ffffff"/>
          </w:tcPr>
          <w:p>
            <w:r>
              <w:rPr>
                <w:color w:val="374151"/>
                <w:sz w:val="20"/>
              </w:rPr>
              <w:t>Advisor</w:t>
            </w:r>
          </w:p>
        </w:tc>
        <w:tc>
          <w:tcPr>
            <w:tcW w:type="dxa" w:w="5472"/>
            <w:shd w:val="clear" w:color="auto" w:fill="ffffff"/>
          </w:tcPr>
          <w:p>
            <w:r>
              <w:rPr>
                <w:color w:val="374151"/>
                <w:sz w:val="20"/>
              </w:rPr>
              <w:t>Module vs region performance heatmap and bar charts</w:t>
            </w:r>
          </w:p>
        </w:tc>
      </w:tr>
      <w:tr>
        <w:tc>
          <w:tcPr>
            <w:tcW w:type="dxa" w:w="2880"/>
            <w:shd w:val="clear" w:color="auto" w:fill="f0f4f8"/>
          </w:tcPr>
          <w:p>
            <w:r>
              <w:rPr>
                <w:color w:val="374151"/>
                <w:sz w:val="20"/>
              </w:rPr>
              <w:t>AdvisorInterventions</w:t>
            </w:r>
          </w:p>
        </w:tc>
        <w:tc>
          <w:tcPr>
            <w:tcW w:type="dxa" w:w="1440"/>
            <w:shd w:val="clear" w:color="auto" w:fill="f0f4f8"/>
          </w:tcPr>
          <w:p>
            <w:r>
              <w:rPr>
                <w:color w:val="374151"/>
                <w:sz w:val="20"/>
              </w:rPr>
              <w:t>Advisor</w:t>
            </w:r>
          </w:p>
        </w:tc>
        <w:tc>
          <w:tcPr>
            <w:tcW w:type="dxa" w:w="5472"/>
            <w:shd w:val="clear" w:color="auto" w:fill="f0f4f8"/>
          </w:tcPr>
          <w:p>
            <w:r>
              <w:rPr>
                <w:color w:val="374151"/>
                <w:sz w:val="20"/>
              </w:rPr>
              <w:t>Intervention tracker with status workflow</w:t>
            </w:r>
          </w:p>
        </w:tc>
      </w:tr>
      <w:tr>
        <w:tc>
          <w:tcPr>
            <w:tcW w:type="dxa" w:w="2880"/>
            <w:shd w:val="clear" w:color="auto" w:fill="ffffff"/>
          </w:tcPr>
          <w:p>
            <w:r>
              <w:rPr>
                <w:color w:val="374151"/>
                <w:sz w:val="20"/>
              </w:rPr>
              <w:t>AdvisorReports</w:t>
            </w:r>
          </w:p>
        </w:tc>
        <w:tc>
          <w:tcPr>
            <w:tcW w:type="dxa" w:w="1440"/>
            <w:shd w:val="clear" w:color="auto" w:fill="ffffff"/>
          </w:tcPr>
          <w:p>
            <w:r>
              <w:rPr>
                <w:color w:val="374151"/>
                <w:sz w:val="20"/>
              </w:rPr>
              <w:t>Advisor</w:t>
            </w:r>
          </w:p>
        </w:tc>
        <w:tc>
          <w:tcPr>
            <w:tcW w:type="dxa" w:w="5472"/>
            <w:shd w:val="clear" w:color="auto" w:fill="ffffff"/>
          </w:tcPr>
          <w:p>
            <w:r>
              <w:rPr>
                <w:color w:val="374151"/>
                <w:sz w:val="20"/>
              </w:rPr>
              <w:t>Generate and download PDF reports</w:t>
            </w:r>
          </w:p>
        </w:tc>
      </w:tr>
      <w:tr>
        <w:tc>
          <w:tcPr>
            <w:tcW w:type="dxa" w:w="2880"/>
            <w:shd w:val="clear" w:color="auto" w:fill="f0f4f8"/>
          </w:tcPr>
          <w:p>
            <w:r>
              <w:rPr>
                <w:color w:val="374151"/>
                <w:sz w:val="20"/>
              </w:rPr>
              <w:t>AdvisorProfile</w:t>
            </w:r>
          </w:p>
        </w:tc>
        <w:tc>
          <w:tcPr>
            <w:tcW w:type="dxa" w:w="1440"/>
            <w:shd w:val="clear" w:color="auto" w:fill="f0f4f8"/>
          </w:tcPr>
          <w:p>
            <w:r>
              <w:rPr>
                <w:color w:val="374151"/>
                <w:sz w:val="20"/>
              </w:rPr>
              <w:t>Advisor</w:t>
            </w:r>
          </w:p>
        </w:tc>
        <w:tc>
          <w:tcPr>
            <w:tcW w:type="dxa" w:w="5472"/>
            <w:shd w:val="clear" w:color="auto" w:fill="f0f4f8"/>
          </w:tcPr>
          <w:p>
            <w:r>
              <w:rPr>
                <w:color w:val="374151"/>
                <w:sz w:val="20"/>
              </w:rPr>
              <w:t>Manage account details</w:t>
            </w:r>
          </w:p>
        </w:tc>
      </w:tr>
      <w:tr>
        <w:tc>
          <w:tcPr>
            <w:tcW w:type="dxa" w:w="2880"/>
            <w:shd w:val="clear" w:color="auto" w:fill="ffffff"/>
          </w:tcPr>
          <w:p>
            <w:r>
              <w:rPr>
                <w:color w:val="374151"/>
                <w:sz w:val="20"/>
              </w:rPr>
              <w:t>StudentOverview</w:t>
            </w:r>
          </w:p>
        </w:tc>
        <w:tc>
          <w:tcPr>
            <w:tcW w:type="dxa" w:w="1440"/>
            <w:shd w:val="clear" w:color="auto" w:fill="ffffff"/>
          </w:tcPr>
          <w:p>
            <w:r>
              <w:rPr>
                <w:color w:val="374151"/>
                <w:sz w:val="20"/>
              </w:rPr>
              <w:t>Student</w:t>
            </w:r>
          </w:p>
        </w:tc>
        <w:tc>
          <w:tcPr>
            <w:tcW w:type="dxa" w:w="5472"/>
            <w:shd w:val="clear" w:color="auto" w:fill="ffffff"/>
          </w:tcPr>
          <w:p>
            <w:r>
              <w:rPr>
                <w:color w:val="374151"/>
                <w:sz w:val="20"/>
              </w:rPr>
              <w:t>Personal risk status, scores, engagement metrics</w:t>
            </w:r>
          </w:p>
        </w:tc>
      </w:tr>
      <w:tr>
        <w:tc>
          <w:tcPr>
            <w:tcW w:type="dxa" w:w="2880"/>
            <w:shd w:val="clear" w:color="auto" w:fill="f0f4f8"/>
          </w:tcPr>
          <w:p>
            <w:r>
              <w:rPr>
                <w:color w:val="374151"/>
                <w:sz w:val="20"/>
              </w:rPr>
              <w:t>StudentCommunications</w:t>
            </w:r>
          </w:p>
        </w:tc>
        <w:tc>
          <w:tcPr>
            <w:tcW w:type="dxa" w:w="1440"/>
            <w:shd w:val="clear" w:color="auto" w:fill="f0f4f8"/>
          </w:tcPr>
          <w:p>
            <w:r>
              <w:rPr>
                <w:color w:val="374151"/>
                <w:sz w:val="20"/>
              </w:rPr>
              <w:t>Student</w:t>
            </w:r>
          </w:p>
        </w:tc>
        <w:tc>
          <w:tcPr>
            <w:tcW w:type="dxa" w:w="5472"/>
            <w:shd w:val="clear" w:color="auto" w:fill="f0f4f8"/>
          </w:tcPr>
          <w:p>
            <w:r>
              <w:rPr>
                <w:color w:val="374151"/>
                <w:sz w:val="20"/>
              </w:rPr>
              <w:t>View and reply to advisor messages</w:t>
            </w:r>
          </w:p>
        </w:tc>
      </w:tr>
    </w:tbl>
    <w:p/>
    <w:p/>
    <w:p>
      <w:pPr>
        <w:spacing w:before="360" w:after="80"/>
      </w:pPr>
      <w:r>
        <w:rPr>
          <w:b/>
          <w:color w:val="1E3A5F"/>
          <w:sz w:val="36"/>
        </w:rPr>
        <w:t>4. How the Machine Learning Model Works</w:t>
      </w:r>
    </w:p>
    <w:p>
      <w:pPr>
        <w:pBdr>
          <w:bottom w:val="single" w:sz="6" w:space="1" w:color="1e3a5f"/>
        </w:pBdr>
        <w:spacing w:after="200" w:before="40"/>
      </w:pPr>
    </w:p>
    <w:p>
      <w:pPr>
        <w:spacing w:before="240" w:after="80"/>
      </w:pPr>
      <w:r>
        <w:rPr>
          <w:b/>
          <w:color w:val="1E3A5F"/>
          <w:sz w:val="28"/>
        </w:rPr>
        <w:t>4.1  Input Features</w:t>
      </w:r>
    </w:p>
    <w:p>
      <w:pPr>
        <w:spacing w:after="120"/>
      </w:pPr>
      <w:r>
        <w:rPr>
          <w:b w:val="0"/>
          <w:i w:val="0"/>
          <w:color w:val="374151"/>
          <w:sz w:val="22"/>
        </w:rPr>
        <w:t>The model uses 13 features split into two groups:</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1e3a5f"/>
            <w:vAlign w:val="center"/>
          </w:tcPr>
          <w:p>
            <w:r>
              <w:rPr>
                <w:b/>
                <w:color w:val="FFFFFF"/>
                <w:sz w:val="20"/>
              </w:rPr>
              <w:t>Feature</w:t>
            </w:r>
          </w:p>
        </w:tc>
        <w:tc>
          <w:tcPr>
            <w:tcW w:type="dxa" w:w="1584"/>
            <w:shd w:val="clear" w:color="auto" w:fill="1e3a5f"/>
            <w:vAlign w:val="center"/>
          </w:tcPr>
          <w:p>
            <w:r>
              <w:rPr>
                <w:b/>
                <w:color w:val="FFFFFF"/>
                <w:sz w:val="20"/>
              </w:rPr>
              <w:t>Type</w:t>
            </w:r>
          </w:p>
        </w:tc>
        <w:tc>
          <w:tcPr>
            <w:tcW w:type="dxa" w:w="5184"/>
            <w:shd w:val="clear" w:color="auto" w:fill="1e3a5f"/>
            <w:vAlign w:val="center"/>
          </w:tcPr>
          <w:p>
            <w:r>
              <w:rPr>
                <w:b/>
                <w:color w:val="FFFFFF"/>
                <w:sz w:val="20"/>
              </w:rPr>
              <w:t>Description</w:t>
            </w:r>
          </w:p>
        </w:tc>
      </w:tr>
      <w:tr>
        <w:tc>
          <w:tcPr>
            <w:tcW w:type="dxa" w:w="2880"/>
            <w:shd w:val="clear" w:color="auto" w:fill="f0f4f8"/>
          </w:tcPr>
          <w:p>
            <w:r>
              <w:rPr>
                <w:color w:val="374151"/>
                <w:sz w:val="20"/>
              </w:rPr>
              <w:t>code_module</w:t>
            </w:r>
          </w:p>
        </w:tc>
        <w:tc>
          <w:tcPr>
            <w:tcW w:type="dxa" w:w="1584"/>
            <w:shd w:val="clear" w:color="auto" w:fill="f0f4f8"/>
          </w:tcPr>
          <w:p>
            <w:r>
              <w:rPr>
                <w:color w:val="374151"/>
                <w:sz w:val="20"/>
              </w:rPr>
              <w:t>Categorical</w:t>
            </w:r>
          </w:p>
        </w:tc>
        <w:tc>
          <w:tcPr>
            <w:tcW w:type="dxa" w:w="5184"/>
            <w:shd w:val="clear" w:color="auto" w:fill="f0f4f8"/>
          </w:tcPr>
          <w:p>
            <w:r>
              <w:rPr>
                <w:color w:val="374151"/>
                <w:sz w:val="20"/>
              </w:rPr>
              <w:t>Academic module identifier (AAA–GGG)</w:t>
            </w:r>
          </w:p>
        </w:tc>
      </w:tr>
      <w:tr>
        <w:tc>
          <w:tcPr>
            <w:tcW w:type="dxa" w:w="2880"/>
            <w:shd w:val="clear" w:color="auto" w:fill="ffffff"/>
          </w:tcPr>
          <w:p>
            <w:r>
              <w:rPr>
                <w:color w:val="374151"/>
                <w:sz w:val="20"/>
              </w:rPr>
              <w:t>code_presentation</w:t>
            </w:r>
          </w:p>
        </w:tc>
        <w:tc>
          <w:tcPr>
            <w:tcW w:type="dxa" w:w="1584"/>
            <w:shd w:val="clear" w:color="auto" w:fill="ffffff"/>
          </w:tcPr>
          <w:p>
            <w:r>
              <w:rPr>
                <w:color w:val="374151"/>
                <w:sz w:val="20"/>
              </w:rPr>
              <w:t>Categorical</w:t>
            </w:r>
          </w:p>
        </w:tc>
        <w:tc>
          <w:tcPr>
            <w:tcW w:type="dxa" w:w="5184"/>
            <w:shd w:val="clear" w:color="auto" w:fill="ffffff"/>
          </w:tcPr>
          <w:p>
            <w:r>
              <w:rPr>
                <w:color w:val="374151"/>
                <w:sz w:val="20"/>
              </w:rPr>
              <w:t>Course run / semester identifier</w:t>
            </w:r>
          </w:p>
        </w:tc>
      </w:tr>
      <w:tr>
        <w:tc>
          <w:tcPr>
            <w:tcW w:type="dxa" w:w="2880"/>
            <w:shd w:val="clear" w:color="auto" w:fill="f0f4f8"/>
          </w:tcPr>
          <w:p>
            <w:r>
              <w:rPr>
                <w:color w:val="374151"/>
                <w:sz w:val="20"/>
              </w:rPr>
              <w:t>gender</w:t>
            </w:r>
          </w:p>
        </w:tc>
        <w:tc>
          <w:tcPr>
            <w:tcW w:type="dxa" w:w="1584"/>
            <w:shd w:val="clear" w:color="auto" w:fill="f0f4f8"/>
          </w:tcPr>
          <w:p>
            <w:r>
              <w:rPr>
                <w:color w:val="374151"/>
                <w:sz w:val="20"/>
              </w:rPr>
              <w:t>Categorical</w:t>
            </w:r>
          </w:p>
        </w:tc>
        <w:tc>
          <w:tcPr>
            <w:tcW w:type="dxa" w:w="5184"/>
            <w:shd w:val="clear" w:color="auto" w:fill="f0f4f8"/>
          </w:tcPr>
          <w:p>
            <w:r>
              <w:rPr>
                <w:color w:val="374151"/>
                <w:sz w:val="20"/>
              </w:rPr>
              <w:t>Student gender</w:t>
            </w:r>
          </w:p>
        </w:tc>
      </w:tr>
      <w:tr>
        <w:tc>
          <w:tcPr>
            <w:tcW w:type="dxa" w:w="2880"/>
            <w:shd w:val="clear" w:color="auto" w:fill="ffffff"/>
          </w:tcPr>
          <w:p>
            <w:r>
              <w:rPr>
                <w:color w:val="374151"/>
                <w:sz w:val="20"/>
              </w:rPr>
              <w:t>region</w:t>
            </w:r>
          </w:p>
        </w:tc>
        <w:tc>
          <w:tcPr>
            <w:tcW w:type="dxa" w:w="1584"/>
            <w:shd w:val="clear" w:color="auto" w:fill="ffffff"/>
          </w:tcPr>
          <w:p>
            <w:r>
              <w:rPr>
                <w:color w:val="374151"/>
                <w:sz w:val="20"/>
              </w:rPr>
              <w:t>Categorical</w:t>
            </w:r>
          </w:p>
        </w:tc>
        <w:tc>
          <w:tcPr>
            <w:tcW w:type="dxa" w:w="5184"/>
            <w:shd w:val="clear" w:color="auto" w:fill="ffffff"/>
          </w:tcPr>
          <w:p>
            <w:r>
              <w:rPr>
                <w:color w:val="374151"/>
                <w:sz w:val="20"/>
              </w:rPr>
              <w:t>Geographic region of study</w:t>
            </w:r>
          </w:p>
        </w:tc>
      </w:tr>
      <w:tr>
        <w:tc>
          <w:tcPr>
            <w:tcW w:type="dxa" w:w="2880"/>
            <w:shd w:val="clear" w:color="auto" w:fill="f0f4f8"/>
          </w:tcPr>
          <w:p>
            <w:r>
              <w:rPr>
                <w:color w:val="374151"/>
                <w:sz w:val="20"/>
              </w:rPr>
              <w:t>highest_education</w:t>
            </w:r>
          </w:p>
        </w:tc>
        <w:tc>
          <w:tcPr>
            <w:tcW w:type="dxa" w:w="1584"/>
            <w:shd w:val="clear" w:color="auto" w:fill="f0f4f8"/>
          </w:tcPr>
          <w:p>
            <w:r>
              <w:rPr>
                <w:color w:val="374151"/>
                <w:sz w:val="20"/>
              </w:rPr>
              <w:t>Categorical</w:t>
            </w:r>
          </w:p>
        </w:tc>
        <w:tc>
          <w:tcPr>
            <w:tcW w:type="dxa" w:w="5184"/>
            <w:shd w:val="clear" w:color="auto" w:fill="f0f4f8"/>
          </w:tcPr>
          <w:p>
            <w:r>
              <w:rPr>
                <w:color w:val="374151"/>
                <w:sz w:val="20"/>
              </w:rPr>
              <w:t>Prior qualification level</w:t>
            </w:r>
          </w:p>
        </w:tc>
      </w:tr>
      <w:tr>
        <w:tc>
          <w:tcPr>
            <w:tcW w:type="dxa" w:w="2880"/>
            <w:shd w:val="clear" w:color="auto" w:fill="ffffff"/>
          </w:tcPr>
          <w:p>
            <w:r>
              <w:rPr>
                <w:color w:val="374151"/>
                <w:sz w:val="20"/>
              </w:rPr>
              <w:t>imd_band</w:t>
            </w:r>
          </w:p>
        </w:tc>
        <w:tc>
          <w:tcPr>
            <w:tcW w:type="dxa" w:w="1584"/>
            <w:shd w:val="clear" w:color="auto" w:fill="ffffff"/>
          </w:tcPr>
          <w:p>
            <w:r>
              <w:rPr>
                <w:color w:val="374151"/>
                <w:sz w:val="20"/>
              </w:rPr>
              <w:t>Categorical</w:t>
            </w:r>
          </w:p>
        </w:tc>
        <w:tc>
          <w:tcPr>
            <w:tcW w:type="dxa" w:w="5184"/>
            <w:shd w:val="clear" w:color="auto" w:fill="ffffff"/>
          </w:tcPr>
          <w:p>
            <w:r>
              <w:rPr>
                <w:color w:val="374151"/>
                <w:sz w:val="20"/>
              </w:rPr>
              <w:t>Index of Multiple Deprivation band</w:t>
            </w:r>
          </w:p>
        </w:tc>
      </w:tr>
      <w:tr>
        <w:tc>
          <w:tcPr>
            <w:tcW w:type="dxa" w:w="2880"/>
            <w:shd w:val="clear" w:color="auto" w:fill="f0f4f8"/>
          </w:tcPr>
          <w:p>
            <w:r>
              <w:rPr>
                <w:color w:val="374151"/>
                <w:sz w:val="20"/>
              </w:rPr>
              <w:t>age_band</w:t>
            </w:r>
          </w:p>
        </w:tc>
        <w:tc>
          <w:tcPr>
            <w:tcW w:type="dxa" w:w="1584"/>
            <w:shd w:val="clear" w:color="auto" w:fill="f0f4f8"/>
          </w:tcPr>
          <w:p>
            <w:r>
              <w:rPr>
                <w:color w:val="374151"/>
                <w:sz w:val="20"/>
              </w:rPr>
              <w:t>Categorical</w:t>
            </w:r>
          </w:p>
        </w:tc>
        <w:tc>
          <w:tcPr>
            <w:tcW w:type="dxa" w:w="5184"/>
            <w:shd w:val="clear" w:color="auto" w:fill="f0f4f8"/>
          </w:tcPr>
          <w:p>
            <w:r>
              <w:rPr>
                <w:color w:val="374151"/>
                <w:sz w:val="20"/>
              </w:rPr>
              <w:t>Student age group</w:t>
            </w:r>
          </w:p>
        </w:tc>
      </w:tr>
      <w:tr>
        <w:tc>
          <w:tcPr>
            <w:tcW w:type="dxa" w:w="2880"/>
            <w:shd w:val="clear" w:color="auto" w:fill="ffffff"/>
          </w:tcPr>
          <w:p>
            <w:r>
              <w:rPr>
                <w:color w:val="374151"/>
                <w:sz w:val="20"/>
              </w:rPr>
              <w:t>disability</w:t>
            </w:r>
          </w:p>
        </w:tc>
        <w:tc>
          <w:tcPr>
            <w:tcW w:type="dxa" w:w="1584"/>
            <w:shd w:val="clear" w:color="auto" w:fill="ffffff"/>
          </w:tcPr>
          <w:p>
            <w:r>
              <w:rPr>
                <w:color w:val="374151"/>
                <w:sz w:val="20"/>
              </w:rPr>
              <w:t>Categorical</w:t>
            </w:r>
          </w:p>
        </w:tc>
        <w:tc>
          <w:tcPr>
            <w:tcW w:type="dxa" w:w="5184"/>
            <w:shd w:val="clear" w:color="auto" w:fill="ffffff"/>
          </w:tcPr>
          <w:p>
            <w:r>
              <w:rPr>
                <w:color w:val="374151"/>
                <w:sz w:val="20"/>
              </w:rPr>
              <w:t>Disability declaration</w:t>
            </w:r>
          </w:p>
        </w:tc>
      </w:tr>
      <w:tr>
        <w:tc>
          <w:tcPr>
            <w:tcW w:type="dxa" w:w="2880"/>
            <w:shd w:val="clear" w:color="auto" w:fill="f0f4f8"/>
          </w:tcPr>
          <w:p>
            <w:r>
              <w:rPr>
                <w:color w:val="374151"/>
                <w:sz w:val="20"/>
              </w:rPr>
              <w:t>num_of_prev_attempts</w:t>
            </w:r>
          </w:p>
        </w:tc>
        <w:tc>
          <w:tcPr>
            <w:tcW w:type="dxa" w:w="1584"/>
            <w:shd w:val="clear" w:color="auto" w:fill="f0f4f8"/>
          </w:tcPr>
          <w:p>
            <w:r>
              <w:rPr>
                <w:color w:val="374151"/>
                <w:sz w:val="20"/>
              </w:rPr>
              <w:t>Numerical</w:t>
            </w:r>
          </w:p>
        </w:tc>
        <w:tc>
          <w:tcPr>
            <w:tcW w:type="dxa" w:w="5184"/>
            <w:shd w:val="clear" w:color="auto" w:fill="f0f4f8"/>
          </w:tcPr>
          <w:p>
            <w:r>
              <w:rPr>
                <w:color w:val="374151"/>
                <w:sz w:val="20"/>
              </w:rPr>
              <w:t>Number of prior module attempts</w:t>
            </w:r>
          </w:p>
        </w:tc>
      </w:tr>
      <w:tr>
        <w:tc>
          <w:tcPr>
            <w:tcW w:type="dxa" w:w="2880"/>
            <w:shd w:val="clear" w:color="auto" w:fill="ffffff"/>
          </w:tcPr>
          <w:p>
            <w:r>
              <w:rPr>
                <w:color w:val="374151"/>
                <w:sz w:val="20"/>
              </w:rPr>
              <w:t>studied_credits</w:t>
            </w:r>
          </w:p>
        </w:tc>
        <w:tc>
          <w:tcPr>
            <w:tcW w:type="dxa" w:w="1584"/>
            <w:shd w:val="clear" w:color="auto" w:fill="ffffff"/>
          </w:tcPr>
          <w:p>
            <w:r>
              <w:rPr>
                <w:color w:val="374151"/>
                <w:sz w:val="20"/>
              </w:rPr>
              <w:t>Numerical</w:t>
            </w:r>
          </w:p>
        </w:tc>
        <w:tc>
          <w:tcPr>
            <w:tcW w:type="dxa" w:w="5184"/>
            <w:shd w:val="clear" w:color="auto" w:fill="ffffff"/>
          </w:tcPr>
          <w:p>
            <w:r>
              <w:rPr>
                <w:color w:val="374151"/>
                <w:sz w:val="20"/>
              </w:rPr>
              <w:t>Total credits currently studied</w:t>
            </w:r>
          </w:p>
        </w:tc>
      </w:tr>
      <w:tr>
        <w:tc>
          <w:tcPr>
            <w:tcW w:type="dxa" w:w="2880"/>
            <w:shd w:val="clear" w:color="auto" w:fill="f0f4f8"/>
          </w:tcPr>
          <w:p>
            <w:r>
              <w:rPr>
                <w:color w:val="374151"/>
                <w:sz w:val="20"/>
              </w:rPr>
              <w:t>avg_first_two_score</w:t>
            </w:r>
          </w:p>
        </w:tc>
        <w:tc>
          <w:tcPr>
            <w:tcW w:type="dxa" w:w="1584"/>
            <w:shd w:val="clear" w:color="auto" w:fill="f0f4f8"/>
          </w:tcPr>
          <w:p>
            <w:r>
              <w:rPr>
                <w:color w:val="374151"/>
                <w:sz w:val="20"/>
              </w:rPr>
              <w:t>Numerical</w:t>
            </w:r>
          </w:p>
        </w:tc>
        <w:tc>
          <w:tcPr>
            <w:tcW w:type="dxa" w:w="5184"/>
            <w:shd w:val="clear" w:color="auto" w:fill="f0f4f8"/>
          </w:tcPr>
          <w:p>
            <w:r>
              <w:rPr>
                <w:color w:val="374151"/>
                <w:sz w:val="20"/>
              </w:rPr>
              <w:t>Average score on first two assessments</w:t>
            </w:r>
          </w:p>
        </w:tc>
      </w:tr>
      <w:tr>
        <w:tc>
          <w:tcPr>
            <w:tcW w:type="dxa" w:w="2880"/>
            <w:shd w:val="clear" w:color="auto" w:fill="ffffff"/>
          </w:tcPr>
          <w:p>
            <w:r>
              <w:rPr>
                <w:color w:val="374151"/>
                <w:sz w:val="20"/>
              </w:rPr>
              <w:t>sum_click</w:t>
            </w:r>
          </w:p>
        </w:tc>
        <w:tc>
          <w:tcPr>
            <w:tcW w:type="dxa" w:w="1584"/>
            <w:shd w:val="clear" w:color="auto" w:fill="ffffff"/>
          </w:tcPr>
          <w:p>
            <w:r>
              <w:rPr>
                <w:color w:val="374151"/>
                <w:sz w:val="20"/>
              </w:rPr>
              <w:t>Numerical</w:t>
            </w:r>
          </w:p>
        </w:tc>
        <w:tc>
          <w:tcPr>
            <w:tcW w:type="dxa" w:w="5184"/>
            <w:shd w:val="clear" w:color="auto" w:fill="ffffff"/>
          </w:tcPr>
          <w:p>
            <w:r>
              <w:rPr>
                <w:color w:val="374151"/>
                <w:sz w:val="20"/>
              </w:rPr>
              <w:t>Total VLE (online platform) click interactions</w:t>
            </w:r>
          </w:p>
        </w:tc>
      </w:tr>
      <w:tr>
        <w:tc>
          <w:tcPr>
            <w:tcW w:type="dxa" w:w="2880"/>
            <w:shd w:val="clear" w:color="auto" w:fill="f0f4f8"/>
          </w:tcPr>
          <w:p>
            <w:r>
              <w:rPr>
                <w:color w:val="374151"/>
                <w:sz w:val="20"/>
              </w:rPr>
              <w:t>gap</w:t>
            </w:r>
          </w:p>
        </w:tc>
        <w:tc>
          <w:tcPr>
            <w:tcW w:type="dxa" w:w="1584"/>
            <w:shd w:val="clear" w:color="auto" w:fill="f0f4f8"/>
          </w:tcPr>
          <w:p>
            <w:r>
              <w:rPr>
                <w:color w:val="374151"/>
                <w:sz w:val="20"/>
              </w:rPr>
              <w:t>Numerical</w:t>
            </w:r>
          </w:p>
        </w:tc>
        <w:tc>
          <w:tcPr>
            <w:tcW w:type="dxa" w:w="5184"/>
            <w:shd w:val="clear" w:color="auto" w:fill="f0f4f8"/>
          </w:tcPr>
          <w:p>
            <w:r>
              <w:rPr>
                <w:color w:val="374151"/>
                <w:sz w:val="20"/>
              </w:rPr>
              <w:t>Maximum consecutive inactivity gap in days</w:t>
            </w:r>
          </w:p>
        </w:tc>
      </w:tr>
    </w:tbl>
    <w:p/>
    <w:p>
      <w:pPr>
        <w:spacing w:before="240" w:after="80"/>
      </w:pPr>
      <w:r>
        <w:rPr>
          <w:b/>
          <w:color w:val="1E3A5F"/>
          <w:sz w:val="28"/>
        </w:rPr>
        <w:t>4.2  Risk Labelling Logic</w:t>
      </w:r>
    </w:p>
    <w:p>
      <w:pPr>
        <w:spacing w:after="120"/>
      </w:pPr>
      <w:r>
        <w:rPr>
          <w:b w:val="0"/>
          <w:i w:val="0"/>
          <w:color w:val="374151"/>
          <w:sz w:val="22"/>
        </w:rPr>
        <w:t>Before model training, each student receives a binary at-risk label based on three independent thresholds. A student is labelled at-risk if ANY one of the following conditions is true:</w:t>
      </w:r>
    </w:p>
    <w:p>
      <w:pPr>
        <w:pStyle w:val="ListBullet"/>
        <w:spacing w:after="60"/>
      </w:pPr>
      <w:r>
        <w:rPr>
          <w:color w:val="374151"/>
          <w:sz w:val="22"/>
        </w:rPr>
        <w:t>Performance Risk: Average score on first two assessments &lt; 40</w:t>
      </w:r>
    </w:p>
    <w:p>
      <w:pPr>
        <w:pStyle w:val="ListBullet"/>
        <w:spacing w:after="60"/>
      </w:pPr>
      <w:r>
        <w:rPr>
          <w:color w:val="374151"/>
          <w:sz w:val="22"/>
        </w:rPr>
        <w:t>Engagement Risk: Total VLE clicks &lt; 75% of the module/presentation mean</w:t>
      </w:r>
    </w:p>
    <w:p>
      <w:pPr>
        <w:pStyle w:val="ListBullet"/>
        <w:spacing w:after="60"/>
      </w:pPr>
      <w:r>
        <w:rPr>
          <w:color w:val="374151"/>
          <w:sz w:val="22"/>
        </w:rPr>
        <w:t>Inactivity Risk: Maximum gap between consecutive logins &gt;= 7 days</w:t>
      </w:r>
    </w:p>
    <w:p>
      <w:pPr>
        <w:spacing w:before="240" w:after="80"/>
      </w:pPr>
      <w:r>
        <w:rPr>
          <w:b/>
          <w:color w:val="1E3A5F"/>
          <w:sz w:val="28"/>
        </w:rPr>
        <w:t>4.3  Model &amp; Evaluation</w:t>
      </w:r>
    </w:p>
    <w:p>
      <w:pPr>
        <w:spacing w:after="120"/>
      </w:pPr>
      <w:r>
        <w:rPr>
          <w:b w:val="0"/>
          <w:i w:val="0"/>
          <w:color w:val="374151"/>
          <w:sz w:val="22"/>
        </w:rPr>
        <w:t>Algorithm: Random Forest Classifier (100 estimators, balanced class weights, random state 42). The balanced class weight setting ensures the model is not biased toward predicting the majority class. The model is evaluated on a held-out 20% test split using accuracy, precision, recall, and F1-score.</w:t>
      </w:r>
    </w:p>
    <w:p>
      <w:pPr>
        <w:spacing w:after="120"/>
      </w:pPr>
      <w:r>
        <w:rPr>
          <w:b w:val="0"/>
          <w:i w:val="0"/>
          <w:color w:val="374151"/>
          <w:sz w:val="22"/>
        </w:rPr>
        <w:t>At runtime, the model produces a risk_probability score (0.0–1.0) for each student. This probability is stored in the database and used to rank students by urgency in the advisor dashboard.</w:t>
      </w:r>
    </w:p>
    <w:p/>
    <w:p>
      <w:pPr>
        <w:spacing w:before="360" w:after="80"/>
      </w:pPr>
      <w:r>
        <w:rPr>
          <w:b/>
          <w:color w:val="1E3A5F"/>
          <w:sz w:val="36"/>
        </w:rPr>
        <w:t>5. User Roles &amp; Workflows</w:t>
      </w:r>
    </w:p>
    <w:p>
      <w:pPr>
        <w:pBdr>
          <w:bottom w:val="single" w:sz="6" w:space="1" w:color="1e3a5f"/>
        </w:pBdr>
        <w:spacing w:after="200" w:before="40"/>
      </w:pPr>
    </w:p>
    <w:p>
      <w:pPr>
        <w:spacing w:before="240" w:after="80"/>
      </w:pPr>
      <w:r>
        <w:rPr>
          <w:b/>
          <w:color w:val="1E3A5F"/>
          <w:sz w:val="28"/>
        </w:rPr>
        <w:t>5.1  Academic Advisor</w:t>
      </w:r>
    </w:p>
    <w:p>
      <w:pPr>
        <w:spacing w:after="120"/>
      </w:pPr>
      <w:r>
        <w:rPr>
          <w:b w:val="0"/>
          <w:i w:val="0"/>
          <w:color w:val="374151"/>
          <w:sz w:val="22"/>
        </w:rPr>
        <w:t>An advisor has full access to the platform. Their typical workflow:</w:t>
      </w:r>
    </w:p>
    <w:p>
      <w:pPr>
        <w:pStyle w:val="ListBullet"/>
        <w:spacing w:after="60"/>
      </w:pPr>
      <w:r>
        <w:rPr>
          <w:color w:val="374151"/>
          <w:sz w:val="22"/>
        </w:rPr>
        <w:t>Log in with staff credentials (is_staff = True)</w:t>
      </w:r>
    </w:p>
    <w:p>
      <w:pPr>
        <w:pStyle w:val="ListBullet"/>
        <w:spacing w:after="60"/>
      </w:pPr>
      <w:r>
        <w:rPr>
          <w:color w:val="374151"/>
          <w:sz w:val="22"/>
        </w:rPr>
        <w:t>Overview dashboard: instantly see total students, % at risk, average scores and engagement</w:t>
      </w:r>
    </w:p>
    <w:p>
      <w:pPr>
        <w:pStyle w:val="ListBullet"/>
        <w:spacing w:after="60"/>
      </w:pPr>
      <w:r>
        <w:rPr>
          <w:color w:val="374151"/>
          <w:sz w:val="22"/>
        </w:rPr>
        <w:t>Students tab: browse, search, and filter all students; view individual risk profiles</w:t>
      </w:r>
    </w:p>
    <w:p>
      <w:pPr>
        <w:pStyle w:val="ListBullet"/>
        <w:spacing w:after="60"/>
      </w:pPr>
      <w:r>
        <w:rPr>
          <w:color w:val="374151"/>
          <w:sz w:val="22"/>
        </w:rPr>
        <w:t>Course Analytics: identify which modules or regions have highest risk concentration</w:t>
      </w:r>
    </w:p>
    <w:p>
      <w:pPr>
        <w:pStyle w:val="ListBullet"/>
        <w:spacing w:after="60"/>
      </w:pPr>
      <w:r>
        <w:rPr>
          <w:color w:val="374151"/>
          <w:sz w:val="22"/>
        </w:rPr>
        <w:t>Intervention Tracker: update student status (Needs Action → Contacted → Resolved)</w:t>
      </w:r>
    </w:p>
    <w:p>
      <w:pPr>
        <w:pStyle w:val="ListBullet"/>
        <w:spacing w:after="60"/>
      </w:pPr>
      <w:r>
        <w:rPr>
          <w:color w:val="374151"/>
          <w:sz w:val="22"/>
        </w:rPr>
        <w:t>Communications: send targeted messages to individual at-risk students</w:t>
      </w:r>
    </w:p>
    <w:p>
      <w:pPr>
        <w:pStyle w:val="ListBullet"/>
        <w:spacing w:after="60"/>
      </w:pPr>
      <w:r>
        <w:rPr>
          <w:color w:val="374151"/>
          <w:sz w:val="22"/>
        </w:rPr>
        <w:t>Reports: export a PDF summary for institutional records or management review</w:t>
      </w:r>
    </w:p>
    <w:p>
      <w:pPr>
        <w:spacing w:before="240" w:after="80"/>
      </w:pPr>
      <w:r>
        <w:rPr>
          <w:b/>
          <w:color w:val="1E3A5F"/>
          <w:sz w:val="28"/>
        </w:rPr>
        <w:t>5.2  Student</w:t>
      </w:r>
    </w:p>
    <w:p>
      <w:pPr>
        <w:spacing w:after="120"/>
      </w:pPr>
      <w:r>
        <w:rPr>
          <w:b w:val="0"/>
          <w:i w:val="0"/>
          <w:color w:val="374151"/>
          <w:sz w:val="22"/>
        </w:rPr>
        <w:t>A student has access only to their own data. Their experience:</w:t>
      </w:r>
    </w:p>
    <w:p>
      <w:pPr>
        <w:pStyle w:val="ListBullet"/>
        <w:spacing w:after="60"/>
      </w:pPr>
      <w:r>
        <w:rPr>
          <w:color w:val="374151"/>
          <w:sz w:val="22"/>
        </w:rPr>
        <w:t>Register with their student ID as username (e.g., 6516)</w:t>
      </w:r>
    </w:p>
    <w:p>
      <w:pPr>
        <w:pStyle w:val="ListBullet"/>
        <w:spacing w:after="60"/>
      </w:pPr>
      <w:r>
        <w:rPr>
          <w:color w:val="374151"/>
          <w:sz w:val="22"/>
        </w:rPr>
        <w:t>Log in to see personal performance metrics and risk indicators</w:t>
      </w:r>
    </w:p>
    <w:p>
      <w:pPr>
        <w:pStyle w:val="ListBullet"/>
        <w:spacing w:after="60"/>
      </w:pPr>
      <w:r>
        <w:rPr>
          <w:color w:val="374151"/>
          <w:sz w:val="22"/>
        </w:rPr>
        <w:t>View their avg score, total VLE clicks, max inactivity gap</w:t>
      </w:r>
    </w:p>
    <w:p>
      <w:pPr>
        <w:pStyle w:val="ListBullet"/>
        <w:spacing w:after="60"/>
      </w:pPr>
      <w:r>
        <w:rPr>
          <w:color w:val="374151"/>
          <w:sz w:val="22"/>
        </w:rPr>
        <w:t>See whether they are flagged as at-risk and which dimension triggered it</w:t>
      </w:r>
    </w:p>
    <w:p>
      <w:pPr>
        <w:pStyle w:val="ListBullet"/>
        <w:spacing w:after="60"/>
      </w:pPr>
      <w:r>
        <w:rPr>
          <w:color w:val="374151"/>
          <w:sz w:val="22"/>
        </w:rPr>
        <w:t>Read and reply to messages sent by their academic advisor</w:t>
      </w:r>
    </w:p>
    <w:p>
      <w:pPr>
        <w:spacing w:before="240" w:after="80"/>
      </w:pPr>
      <w:r>
        <w:rPr>
          <w:b/>
          <w:color w:val="1E3A5F"/>
          <w:sz w:val="28"/>
        </w:rPr>
        <w:t>5.3  Role Determination</w:t>
      </w:r>
    </w:p>
    <w:p>
      <w:pPr>
        <w:spacing w:after="120"/>
      </w:pPr>
      <w:r>
        <w:rPr>
          <w:b w:val="0"/>
          <w:i w:val="0"/>
          <w:color w:val="374151"/>
          <w:sz w:val="22"/>
        </w:rPr>
        <w:t>Role assignment is automatic. When a user logs in, the backend checks Django's is_staff flag. Staff accounts are redirected to the advisor dashboard; non-staff accounts to the student view. The frontend stores the role in localStorage and renders the appropriate components.</w:t>
      </w:r>
    </w:p>
    <w:p/>
    <w:p>
      <w:pPr>
        <w:spacing w:before="360" w:after="80"/>
      </w:pPr>
      <w:r>
        <w:rPr>
          <w:b/>
          <w:color w:val="1E3A5F"/>
          <w:sz w:val="36"/>
        </w:rPr>
        <w:t>6. Data Model</w:t>
      </w:r>
    </w:p>
    <w:p>
      <w:pPr>
        <w:pBdr>
          <w:bottom w:val="single" w:sz="6" w:space="1" w:color="1e3a5f"/>
        </w:pBdr>
        <w:spacing w:after="200" w:before="40"/>
      </w:pPr>
    </w:p>
    <w:p>
      <w:pPr>
        <w:spacing w:after="120"/>
      </w:pPr>
      <w:r>
        <w:rPr>
          <w:b w:val="0"/>
          <w:i w:val="0"/>
          <w:color w:val="374151"/>
          <w:sz w:val="22"/>
        </w:rPr>
        <w:t>The database consists of four core tables:</w:t>
      </w:r>
    </w:p>
    <w:tbl>
      <w:tblPr>
        <w:tblStyle w:val="TableGrid"/>
        <w:tblW w:type="auto" w:w="0"/>
        <w:jc w:val="left"/>
        <w:tblLook w:firstColumn="1" w:firstRow="1" w:lastColumn="0" w:lastRow="0" w:noHBand="0" w:noVBand="1" w:val="04A0"/>
      </w:tblPr>
      <w:tblGrid>
        <w:gridCol w:w="3022"/>
        <w:gridCol w:w="3022"/>
        <w:gridCol w:w="3022"/>
      </w:tblGrid>
      <w:tr>
        <w:tc>
          <w:tcPr>
            <w:tcW w:type="dxa" w:w="2016"/>
            <w:shd w:val="clear" w:color="auto" w:fill="1e3a5f"/>
            <w:vAlign w:val="center"/>
          </w:tcPr>
          <w:p>
            <w:r>
              <w:rPr>
                <w:b/>
                <w:color w:val="FFFFFF"/>
                <w:sz w:val="20"/>
              </w:rPr>
              <w:t>Table</w:t>
            </w:r>
          </w:p>
        </w:tc>
        <w:tc>
          <w:tcPr>
            <w:tcW w:type="dxa" w:w="3600"/>
            <w:shd w:val="clear" w:color="auto" w:fill="1e3a5f"/>
            <w:vAlign w:val="center"/>
          </w:tcPr>
          <w:p>
            <w:r>
              <w:rPr>
                <w:b/>
                <w:color w:val="FFFFFF"/>
                <w:sz w:val="20"/>
              </w:rPr>
              <w:t>Key Fields</w:t>
            </w:r>
          </w:p>
        </w:tc>
        <w:tc>
          <w:tcPr>
            <w:tcW w:type="dxa" w:w="4320"/>
            <w:shd w:val="clear" w:color="auto" w:fill="1e3a5f"/>
            <w:vAlign w:val="center"/>
          </w:tcPr>
          <w:p>
            <w:r>
              <w:rPr>
                <w:b/>
                <w:color w:val="FFFFFF"/>
                <w:sz w:val="20"/>
              </w:rPr>
              <w:t>Purpose</w:t>
            </w:r>
          </w:p>
        </w:tc>
      </w:tr>
      <w:tr>
        <w:tc>
          <w:tcPr>
            <w:tcW w:type="dxa" w:w="2016"/>
            <w:shd w:val="clear" w:color="auto" w:fill="f0f4f8"/>
          </w:tcPr>
          <w:p>
            <w:r>
              <w:rPr>
                <w:color w:val="374151"/>
                <w:sz w:val="20"/>
              </w:rPr>
              <w:t>Student</w:t>
            </w:r>
          </w:p>
        </w:tc>
        <w:tc>
          <w:tcPr>
            <w:tcW w:type="dxa" w:w="3600"/>
            <w:shd w:val="clear" w:color="auto" w:fill="f0f4f8"/>
          </w:tcPr>
          <w:p>
            <w:r>
              <w:rPr>
                <w:color w:val="374151"/>
                <w:sz w:val="20"/>
              </w:rPr>
              <w:t>id_student, code_module, avg_first_two_score, total_clicks, max_inactivity_gap, is_at_risk, risk_probability</w:t>
            </w:r>
          </w:p>
        </w:tc>
        <w:tc>
          <w:tcPr>
            <w:tcW w:type="dxa" w:w="4320"/>
            <w:shd w:val="clear" w:color="auto" w:fill="f0f4f8"/>
          </w:tcPr>
          <w:p>
            <w:r>
              <w:rPr>
                <w:color w:val="374151"/>
                <w:sz w:val="20"/>
              </w:rPr>
              <w:t>Core student record with precomputed analytics and ML prediction flags</w:t>
            </w:r>
          </w:p>
        </w:tc>
      </w:tr>
      <w:tr>
        <w:tc>
          <w:tcPr>
            <w:tcW w:type="dxa" w:w="2016"/>
            <w:shd w:val="clear" w:color="auto" w:fill="ffffff"/>
          </w:tcPr>
          <w:p>
            <w:r>
              <w:rPr>
                <w:color w:val="374151"/>
                <w:sz w:val="20"/>
              </w:rPr>
              <w:t>Message</w:t>
            </w:r>
          </w:p>
        </w:tc>
        <w:tc>
          <w:tcPr>
            <w:tcW w:type="dxa" w:w="3600"/>
            <w:shd w:val="clear" w:color="auto" w:fill="ffffff"/>
          </w:tcPr>
          <w:p>
            <w:r>
              <w:rPr>
                <w:color w:val="374151"/>
                <w:sz w:val="20"/>
              </w:rPr>
              <w:t>student (FK), sender, content, timestamp, is_read</w:t>
            </w:r>
          </w:p>
        </w:tc>
        <w:tc>
          <w:tcPr>
            <w:tcW w:type="dxa" w:w="4320"/>
            <w:shd w:val="clear" w:color="auto" w:fill="ffffff"/>
          </w:tcPr>
          <w:p>
            <w:r>
              <w:rPr>
                <w:color w:val="374151"/>
                <w:sz w:val="20"/>
              </w:rPr>
              <w:t>Communication thread between advisor and student</w:t>
            </w:r>
          </w:p>
        </w:tc>
      </w:tr>
      <w:tr>
        <w:tc>
          <w:tcPr>
            <w:tcW w:type="dxa" w:w="2016"/>
            <w:shd w:val="clear" w:color="auto" w:fill="f0f4f8"/>
          </w:tcPr>
          <w:p>
            <w:r>
              <w:rPr>
                <w:color w:val="374151"/>
                <w:sz w:val="20"/>
              </w:rPr>
              <w:t>Intervention</w:t>
            </w:r>
          </w:p>
        </w:tc>
        <w:tc>
          <w:tcPr>
            <w:tcW w:type="dxa" w:w="3600"/>
            <w:shd w:val="clear" w:color="auto" w:fill="f0f4f8"/>
          </w:tcPr>
          <w:p>
            <w:r>
              <w:rPr>
                <w:color w:val="374151"/>
                <w:sz w:val="20"/>
              </w:rPr>
              <w:t>student (FK, OneToOne), status, notes, updated_at</w:t>
            </w:r>
          </w:p>
        </w:tc>
        <w:tc>
          <w:tcPr>
            <w:tcW w:type="dxa" w:w="4320"/>
            <w:shd w:val="clear" w:color="auto" w:fill="f0f4f8"/>
          </w:tcPr>
          <w:p>
            <w:r>
              <w:rPr>
                <w:color w:val="374151"/>
                <w:sz w:val="20"/>
              </w:rPr>
              <w:t>One intervention record per student tracking support workflow status</w:t>
            </w:r>
          </w:p>
        </w:tc>
      </w:tr>
      <w:tr>
        <w:tc>
          <w:tcPr>
            <w:tcW w:type="dxa" w:w="2016"/>
            <w:shd w:val="clear" w:color="auto" w:fill="ffffff"/>
          </w:tcPr>
          <w:p>
            <w:r>
              <w:rPr>
                <w:color w:val="374151"/>
                <w:sz w:val="20"/>
              </w:rPr>
              <w:t>DashboardMetric</w:t>
            </w:r>
          </w:p>
        </w:tc>
        <w:tc>
          <w:tcPr>
            <w:tcW w:type="dxa" w:w="3600"/>
            <w:shd w:val="clear" w:color="auto" w:fill="ffffff"/>
          </w:tcPr>
          <w:p>
            <w:r>
              <w:rPr>
                <w:color w:val="374151"/>
                <w:sz w:val="20"/>
              </w:rPr>
              <w:t>total_students, total_at_risk, avg_engagement, last_updated</w:t>
            </w:r>
          </w:p>
        </w:tc>
        <w:tc>
          <w:tcPr>
            <w:tcW w:type="dxa" w:w="4320"/>
            <w:shd w:val="clear" w:color="auto" w:fill="ffffff"/>
          </w:tcPr>
          <w:p>
            <w:r>
              <w:rPr>
                <w:color w:val="374151"/>
                <w:sz w:val="20"/>
              </w:rPr>
              <w:t>Cached global statistics for dashboard performance</w:t>
            </w:r>
          </w:p>
        </w:tc>
      </w:tr>
    </w:tbl>
    <w:p/>
    <w:p/>
    <w:p>
      <w:pPr>
        <w:spacing w:before="360" w:after="80"/>
      </w:pPr>
      <w:r>
        <w:rPr>
          <w:b/>
          <w:color w:val="1E3A5F"/>
          <w:sz w:val="36"/>
        </w:rPr>
        <w:t>7. Technology Stack</w:t>
      </w:r>
    </w:p>
    <w:p>
      <w:pPr>
        <w:pBdr>
          <w:bottom w:val="single" w:sz="6" w:space="1" w:color="1e3a5f"/>
        </w:pBdr>
        <w:spacing w:after="200" w:before="40"/>
      </w:pP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440"/>
            <w:shd w:val="clear" w:color="auto" w:fill="1e3a5f"/>
            <w:vAlign w:val="center"/>
          </w:tcPr>
          <w:p>
            <w:r>
              <w:rPr>
                <w:b/>
                <w:color w:val="FFFFFF"/>
                <w:sz w:val="20"/>
              </w:rPr>
              <w:t>Layer</w:t>
            </w:r>
          </w:p>
        </w:tc>
        <w:tc>
          <w:tcPr>
            <w:tcW w:type="dxa" w:w="2592"/>
            <w:shd w:val="clear" w:color="auto" w:fill="1e3a5f"/>
            <w:vAlign w:val="center"/>
          </w:tcPr>
          <w:p>
            <w:r>
              <w:rPr>
                <w:b/>
                <w:color w:val="FFFFFF"/>
                <w:sz w:val="20"/>
              </w:rPr>
              <w:t>Technology</w:t>
            </w:r>
          </w:p>
        </w:tc>
        <w:tc>
          <w:tcPr>
            <w:tcW w:type="dxa" w:w="1440"/>
            <w:shd w:val="clear" w:color="auto" w:fill="1e3a5f"/>
            <w:vAlign w:val="center"/>
          </w:tcPr>
          <w:p>
            <w:r>
              <w:rPr>
                <w:b/>
                <w:color w:val="FFFFFF"/>
                <w:sz w:val="20"/>
              </w:rPr>
              <w:t>Version</w:t>
            </w:r>
          </w:p>
        </w:tc>
        <w:tc>
          <w:tcPr>
            <w:tcW w:type="dxa" w:w="4320"/>
            <w:shd w:val="clear" w:color="auto" w:fill="1e3a5f"/>
            <w:vAlign w:val="center"/>
          </w:tcPr>
          <w:p>
            <w:r>
              <w:rPr>
                <w:b/>
                <w:color w:val="FFFFFF"/>
                <w:sz w:val="20"/>
              </w:rPr>
              <w:t>Role</w:t>
            </w:r>
          </w:p>
        </w:tc>
      </w:tr>
      <w:tr>
        <w:tc>
          <w:tcPr>
            <w:tcW w:type="dxa" w:w="1440"/>
            <w:shd w:val="clear" w:color="auto" w:fill="f0f4f8"/>
          </w:tcPr>
          <w:p>
            <w:r>
              <w:rPr>
                <w:color w:val="374151"/>
                <w:sz w:val="20"/>
              </w:rPr>
              <w:t>ML</w:t>
            </w:r>
          </w:p>
        </w:tc>
        <w:tc>
          <w:tcPr>
            <w:tcW w:type="dxa" w:w="2592"/>
            <w:shd w:val="clear" w:color="auto" w:fill="f0f4f8"/>
          </w:tcPr>
          <w:p>
            <w:r>
              <w:rPr>
                <w:color w:val="374151"/>
                <w:sz w:val="20"/>
              </w:rPr>
              <w:t>Python</w:t>
            </w:r>
          </w:p>
        </w:tc>
        <w:tc>
          <w:tcPr>
            <w:tcW w:type="dxa" w:w="1440"/>
            <w:shd w:val="clear" w:color="auto" w:fill="f0f4f8"/>
          </w:tcPr>
          <w:p>
            <w:r>
              <w:rPr>
                <w:color w:val="374151"/>
                <w:sz w:val="20"/>
              </w:rPr>
              <w:t>3.12</w:t>
            </w:r>
          </w:p>
        </w:tc>
        <w:tc>
          <w:tcPr>
            <w:tcW w:type="dxa" w:w="4320"/>
            <w:shd w:val="clear" w:color="auto" w:fill="f0f4f8"/>
          </w:tcPr>
          <w:p>
            <w:r>
              <w:rPr>
                <w:color w:val="374151"/>
                <w:sz w:val="20"/>
              </w:rPr>
              <w:t>Primary language</w:t>
            </w:r>
          </w:p>
        </w:tc>
      </w:tr>
      <w:tr>
        <w:tc>
          <w:tcPr>
            <w:tcW w:type="dxa" w:w="1440"/>
            <w:shd w:val="clear" w:color="auto" w:fill="ffffff"/>
          </w:tcPr>
          <w:p>
            <w:r>
              <w:rPr>
                <w:color w:val="374151"/>
                <w:sz w:val="20"/>
              </w:rPr>
              <w:t>ML</w:t>
            </w:r>
          </w:p>
        </w:tc>
        <w:tc>
          <w:tcPr>
            <w:tcW w:type="dxa" w:w="2592"/>
            <w:shd w:val="clear" w:color="auto" w:fill="ffffff"/>
          </w:tcPr>
          <w:p>
            <w:r>
              <w:rPr>
                <w:color w:val="374151"/>
                <w:sz w:val="20"/>
              </w:rPr>
              <w:t>pandas</w:t>
            </w:r>
          </w:p>
        </w:tc>
        <w:tc>
          <w:tcPr>
            <w:tcW w:type="dxa" w:w="1440"/>
            <w:shd w:val="clear" w:color="auto" w:fill="ffffff"/>
          </w:tcPr>
          <w:p>
            <w:r>
              <w:rPr>
                <w:color w:val="374151"/>
                <w:sz w:val="20"/>
              </w:rPr>
              <w:t>2.2.3</w:t>
            </w:r>
          </w:p>
        </w:tc>
        <w:tc>
          <w:tcPr>
            <w:tcW w:type="dxa" w:w="4320"/>
            <w:shd w:val="clear" w:color="auto" w:fill="ffffff"/>
          </w:tcPr>
          <w:p>
            <w:r>
              <w:rPr>
                <w:color w:val="374151"/>
                <w:sz w:val="20"/>
              </w:rPr>
              <w:t>Data manipulation &amp; feature engineering</w:t>
            </w:r>
          </w:p>
        </w:tc>
      </w:tr>
      <w:tr>
        <w:tc>
          <w:tcPr>
            <w:tcW w:type="dxa" w:w="1440"/>
            <w:shd w:val="clear" w:color="auto" w:fill="f0f4f8"/>
          </w:tcPr>
          <w:p>
            <w:r>
              <w:rPr>
                <w:color w:val="374151"/>
                <w:sz w:val="20"/>
              </w:rPr>
              <w:t>ML</w:t>
            </w:r>
          </w:p>
        </w:tc>
        <w:tc>
          <w:tcPr>
            <w:tcW w:type="dxa" w:w="2592"/>
            <w:shd w:val="clear" w:color="auto" w:fill="f0f4f8"/>
          </w:tcPr>
          <w:p>
            <w:r>
              <w:rPr>
                <w:color w:val="374151"/>
                <w:sz w:val="20"/>
              </w:rPr>
              <w:t>scikit-learn</w:t>
            </w:r>
          </w:p>
        </w:tc>
        <w:tc>
          <w:tcPr>
            <w:tcW w:type="dxa" w:w="1440"/>
            <w:shd w:val="clear" w:color="auto" w:fill="f0f4f8"/>
          </w:tcPr>
          <w:p>
            <w:r>
              <w:rPr>
                <w:color w:val="374151"/>
                <w:sz w:val="20"/>
              </w:rPr>
              <w:t>1.8.0</w:t>
            </w:r>
          </w:p>
        </w:tc>
        <w:tc>
          <w:tcPr>
            <w:tcW w:type="dxa" w:w="4320"/>
            <w:shd w:val="clear" w:color="auto" w:fill="f0f4f8"/>
          </w:tcPr>
          <w:p>
            <w:r>
              <w:rPr>
                <w:color w:val="374151"/>
                <w:sz w:val="20"/>
              </w:rPr>
              <w:t>Random Forest model</w:t>
            </w:r>
          </w:p>
        </w:tc>
      </w:tr>
      <w:tr>
        <w:tc>
          <w:tcPr>
            <w:tcW w:type="dxa" w:w="1440"/>
            <w:shd w:val="clear" w:color="auto" w:fill="ffffff"/>
          </w:tcPr>
          <w:p>
            <w:r>
              <w:rPr>
                <w:color w:val="374151"/>
                <w:sz w:val="20"/>
              </w:rPr>
              <w:t>ML</w:t>
            </w:r>
          </w:p>
        </w:tc>
        <w:tc>
          <w:tcPr>
            <w:tcW w:type="dxa" w:w="2592"/>
            <w:shd w:val="clear" w:color="auto" w:fill="ffffff"/>
          </w:tcPr>
          <w:p>
            <w:r>
              <w:rPr>
                <w:color w:val="374151"/>
                <w:sz w:val="20"/>
              </w:rPr>
              <w:t>joblib</w:t>
            </w:r>
          </w:p>
        </w:tc>
        <w:tc>
          <w:tcPr>
            <w:tcW w:type="dxa" w:w="1440"/>
            <w:shd w:val="clear" w:color="auto" w:fill="ffffff"/>
          </w:tcPr>
          <w:p>
            <w:r>
              <w:rPr>
                <w:color w:val="374151"/>
                <w:sz w:val="20"/>
              </w:rPr>
              <w:t>1.4.2</w:t>
            </w:r>
          </w:p>
        </w:tc>
        <w:tc>
          <w:tcPr>
            <w:tcW w:type="dxa" w:w="4320"/>
            <w:shd w:val="clear" w:color="auto" w:fill="ffffff"/>
          </w:tcPr>
          <w:p>
            <w:r>
              <w:rPr>
                <w:color w:val="374151"/>
                <w:sz w:val="20"/>
              </w:rPr>
              <w:t>Model serialisation</w:t>
            </w:r>
          </w:p>
        </w:tc>
      </w:tr>
      <w:tr>
        <w:tc>
          <w:tcPr>
            <w:tcW w:type="dxa" w:w="1440"/>
            <w:shd w:val="clear" w:color="auto" w:fill="f0f4f8"/>
          </w:tcPr>
          <w:p>
            <w:r>
              <w:rPr>
                <w:color w:val="374151"/>
                <w:sz w:val="20"/>
              </w:rPr>
              <w:t>Backend</w:t>
            </w:r>
          </w:p>
        </w:tc>
        <w:tc>
          <w:tcPr>
            <w:tcW w:type="dxa" w:w="2592"/>
            <w:shd w:val="clear" w:color="auto" w:fill="f0f4f8"/>
          </w:tcPr>
          <w:p>
            <w:r>
              <w:rPr>
                <w:color w:val="374151"/>
                <w:sz w:val="20"/>
              </w:rPr>
              <w:t>Django</w:t>
            </w:r>
          </w:p>
        </w:tc>
        <w:tc>
          <w:tcPr>
            <w:tcW w:type="dxa" w:w="1440"/>
            <w:shd w:val="clear" w:color="auto" w:fill="f0f4f8"/>
          </w:tcPr>
          <w:p>
            <w:r>
              <w:rPr>
                <w:color w:val="374151"/>
                <w:sz w:val="20"/>
              </w:rPr>
              <w:t>5.2.11</w:t>
            </w:r>
          </w:p>
        </w:tc>
        <w:tc>
          <w:tcPr>
            <w:tcW w:type="dxa" w:w="4320"/>
            <w:shd w:val="clear" w:color="auto" w:fill="f0f4f8"/>
          </w:tcPr>
          <w:p>
            <w:r>
              <w:rPr>
                <w:color w:val="374151"/>
                <w:sz w:val="20"/>
              </w:rPr>
              <w:t>Web framework &amp; ORM</w:t>
            </w:r>
          </w:p>
        </w:tc>
      </w:tr>
      <w:tr>
        <w:tc>
          <w:tcPr>
            <w:tcW w:type="dxa" w:w="1440"/>
            <w:shd w:val="clear" w:color="auto" w:fill="ffffff"/>
          </w:tcPr>
          <w:p>
            <w:r>
              <w:rPr>
                <w:color w:val="374151"/>
                <w:sz w:val="20"/>
              </w:rPr>
              <w:t>Backend</w:t>
            </w:r>
          </w:p>
        </w:tc>
        <w:tc>
          <w:tcPr>
            <w:tcW w:type="dxa" w:w="2592"/>
            <w:shd w:val="clear" w:color="auto" w:fill="ffffff"/>
          </w:tcPr>
          <w:p>
            <w:r>
              <w:rPr>
                <w:color w:val="374151"/>
                <w:sz w:val="20"/>
              </w:rPr>
              <w:t>Django REST Framework</w:t>
            </w:r>
          </w:p>
        </w:tc>
        <w:tc>
          <w:tcPr>
            <w:tcW w:type="dxa" w:w="1440"/>
            <w:shd w:val="clear" w:color="auto" w:fill="ffffff"/>
          </w:tcPr>
          <w:p>
            <w:r>
              <w:rPr>
                <w:color w:val="374151"/>
                <w:sz w:val="20"/>
              </w:rPr>
              <w:t>3.16.1</w:t>
            </w:r>
          </w:p>
        </w:tc>
        <w:tc>
          <w:tcPr>
            <w:tcW w:type="dxa" w:w="4320"/>
            <w:shd w:val="clear" w:color="auto" w:fill="ffffff"/>
          </w:tcPr>
          <w:p>
            <w:r>
              <w:rPr>
                <w:color w:val="374151"/>
                <w:sz w:val="20"/>
              </w:rPr>
              <w:t>REST API layer</w:t>
            </w:r>
          </w:p>
        </w:tc>
      </w:tr>
      <w:tr>
        <w:tc>
          <w:tcPr>
            <w:tcW w:type="dxa" w:w="1440"/>
            <w:shd w:val="clear" w:color="auto" w:fill="f0f4f8"/>
          </w:tcPr>
          <w:p>
            <w:r>
              <w:rPr>
                <w:color w:val="374151"/>
                <w:sz w:val="20"/>
              </w:rPr>
              <w:t>Backend</w:t>
            </w:r>
          </w:p>
        </w:tc>
        <w:tc>
          <w:tcPr>
            <w:tcW w:type="dxa" w:w="2592"/>
            <w:shd w:val="clear" w:color="auto" w:fill="f0f4f8"/>
          </w:tcPr>
          <w:p>
            <w:r>
              <w:rPr>
                <w:color w:val="374151"/>
                <w:sz w:val="20"/>
              </w:rPr>
              <w:t>django-cors-headers</w:t>
            </w:r>
          </w:p>
        </w:tc>
        <w:tc>
          <w:tcPr>
            <w:tcW w:type="dxa" w:w="1440"/>
            <w:shd w:val="clear" w:color="auto" w:fill="f0f4f8"/>
          </w:tcPr>
          <w:p>
            <w:r>
              <w:rPr>
                <w:color w:val="374151"/>
                <w:sz w:val="20"/>
              </w:rPr>
              <w:t>4.9.0</w:t>
            </w:r>
          </w:p>
        </w:tc>
        <w:tc>
          <w:tcPr>
            <w:tcW w:type="dxa" w:w="4320"/>
            <w:shd w:val="clear" w:color="auto" w:fill="f0f4f8"/>
          </w:tcPr>
          <w:p>
            <w:r>
              <w:rPr>
                <w:color w:val="374151"/>
                <w:sz w:val="20"/>
              </w:rPr>
              <w:t>Cross-origin request handling</w:t>
            </w:r>
          </w:p>
        </w:tc>
      </w:tr>
      <w:tr>
        <w:tc>
          <w:tcPr>
            <w:tcW w:type="dxa" w:w="1440"/>
            <w:shd w:val="clear" w:color="auto" w:fill="ffffff"/>
          </w:tcPr>
          <w:p>
            <w:r>
              <w:rPr>
                <w:color w:val="374151"/>
                <w:sz w:val="20"/>
              </w:rPr>
              <w:t>Backend</w:t>
            </w:r>
          </w:p>
        </w:tc>
        <w:tc>
          <w:tcPr>
            <w:tcW w:type="dxa" w:w="2592"/>
            <w:shd w:val="clear" w:color="auto" w:fill="ffffff"/>
          </w:tcPr>
          <w:p>
            <w:r>
              <w:rPr>
                <w:color w:val="374151"/>
                <w:sz w:val="20"/>
              </w:rPr>
              <w:t>SQLite</w:t>
            </w:r>
          </w:p>
        </w:tc>
        <w:tc>
          <w:tcPr>
            <w:tcW w:type="dxa" w:w="1440"/>
            <w:shd w:val="clear" w:color="auto" w:fill="ffffff"/>
          </w:tcPr>
          <w:p>
            <w:r>
              <w:rPr>
                <w:color w:val="374151"/>
                <w:sz w:val="20"/>
              </w:rPr>
              <w:t>built-in</w:t>
            </w:r>
          </w:p>
        </w:tc>
        <w:tc>
          <w:tcPr>
            <w:tcW w:type="dxa" w:w="4320"/>
            <w:shd w:val="clear" w:color="auto" w:fill="ffffff"/>
          </w:tcPr>
          <w:p>
            <w:r>
              <w:rPr>
                <w:color w:val="374151"/>
                <w:sz w:val="20"/>
              </w:rPr>
              <w:t>Default database</w:t>
            </w:r>
          </w:p>
        </w:tc>
      </w:tr>
      <w:tr>
        <w:tc>
          <w:tcPr>
            <w:tcW w:type="dxa" w:w="1440"/>
            <w:shd w:val="clear" w:color="auto" w:fill="f0f4f8"/>
          </w:tcPr>
          <w:p>
            <w:r>
              <w:rPr>
                <w:color w:val="374151"/>
                <w:sz w:val="20"/>
              </w:rPr>
              <w:t>Frontend</w:t>
            </w:r>
          </w:p>
        </w:tc>
        <w:tc>
          <w:tcPr>
            <w:tcW w:type="dxa" w:w="2592"/>
            <w:shd w:val="clear" w:color="auto" w:fill="f0f4f8"/>
          </w:tcPr>
          <w:p>
            <w:r>
              <w:rPr>
                <w:color w:val="374151"/>
                <w:sz w:val="20"/>
              </w:rPr>
              <w:t>React</w:t>
            </w:r>
          </w:p>
        </w:tc>
        <w:tc>
          <w:tcPr>
            <w:tcW w:type="dxa" w:w="1440"/>
            <w:shd w:val="clear" w:color="auto" w:fill="f0f4f8"/>
          </w:tcPr>
          <w:p>
            <w:r>
              <w:rPr>
                <w:color w:val="374151"/>
                <w:sz w:val="20"/>
              </w:rPr>
              <w:t>19</w:t>
            </w:r>
          </w:p>
        </w:tc>
        <w:tc>
          <w:tcPr>
            <w:tcW w:type="dxa" w:w="4320"/>
            <w:shd w:val="clear" w:color="auto" w:fill="f0f4f8"/>
          </w:tcPr>
          <w:p>
            <w:r>
              <w:rPr>
                <w:color w:val="374151"/>
                <w:sz w:val="20"/>
              </w:rPr>
              <w:t>UI framework</w:t>
            </w:r>
          </w:p>
        </w:tc>
      </w:tr>
      <w:tr>
        <w:tc>
          <w:tcPr>
            <w:tcW w:type="dxa" w:w="1440"/>
            <w:shd w:val="clear" w:color="auto" w:fill="ffffff"/>
          </w:tcPr>
          <w:p>
            <w:r>
              <w:rPr>
                <w:color w:val="374151"/>
                <w:sz w:val="20"/>
              </w:rPr>
              <w:t>Frontend</w:t>
            </w:r>
          </w:p>
        </w:tc>
        <w:tc>
          <w:tcPr>
            <w:tcW w:type="dxa" w:w="2592"/>
            <w:shd w:val="clear" w:color="auto" w:fill="ffffff"/>
          </w:tcPr>
          <w:p>
            <w:r>
              <w:rPr>
                <w:color w:val="374151"/>
                <w:sz w:val="20"/>
              </w:rPr>
              <w:t>Vite</w:t>
            </w:r>
          </w:p>
        </w:tc>
        <w:tc>
          <w:tcPr>
            <w:tcW w:type="dxa" w:w="1440"/>
            <w:shd w:val="clear" w:color="auto" w:fill="ffffff"/>
          </w:tcPr>
          <w:p>
            <w:r>
              <w:rPr>
                <w:color w:val="374151"/>
                <w:sz w:val="20"/>
              </w:rPr>
              <w:t>8</w:t>
            </w:r>
          </w:p>
        </w:tc>
        <w:tc>
          <w:tcPr>
            <w:tcW w:type="dxa" w:w="4320"/>
            <w:shd w:val="clear" w:color="auto" w:fill="ffffff"/>
          </w:tcPr>
          <w:p>
            <w:r>
              <w:rPr>
                <w:color w:val="374151"/>
                <w:sz w:val="20"/>
              </w:rPr>
              <w:t>Build tool &amp; dev server</w:t>
            </w:r>
          </w:p>
        </w:tc>
      </w:tr>
      <w:tr>
        <w:tc>
          <w:tcPr>
            <w:tcW w:type="dxa" w:w="1440"/>
            <w:shd w:val="clear" w:color="auto" w:fill="f0f4f8"/>
          </w:tcPr>
          <w:p>
            <w:r>
              <w:rPr>
                <w:color w:val="374151"/>
                <w:sz w:val="20"/>
              </w:rPr>
              <w:t>Frontend</w:t>
            </w:r>
          </w:p>
        </w:tc>
        <w:tc>
          <w:tcPr>
            <w:tcW w:type="dxa" w:w="2592"/>
            <w:shd w:val="clear" w:color="auto" w:fill="f0f4f8"/>
          </w:tcPr>
          <w:p>
            <w:r>
              <w:rPr>
                <w:color w:val="374151"/>
                <w:sz w:val="20"/>
              </w:rPr>
              <w:t>Axios</w:t>
            </w:r>
          </w:p>
        </w:tc>
        <w:tc>
          <w:tcPr>
            <w:tcW w:type="dxa" w:w="1440"/>
            <w:shd w:val="clear" w:color="auto" w:fill="f0f4f8"/>
          </w:tcPr>
          <w:p>
            <w:r>
              <w:rPr>
                <w:color w:val="374151"/>
                <w:sz w:val="20"/>
              </w:rPr>
              <w:t>1.15</w:t>
            </w:r>
          </w:p>
        </w:tc>
        <w:tc>
          <w:tcPr>
            <w:tcW w:type="dxa" w:w="4320"/>
            <w:shd w:val="clear" w:color="auto" w:fill="f0f4f8"/>
          </w:tcPr>
          <w:p>
            <w:r>
              <w:rPr>
                <w:color w:val="374151"/>
                <w:sz w:val="20"/>
              </w:rPr>
              <w:t>HTTP client</w:t>
            </w:r>
          </w:p>
        </w:tc>
      </w:tr>
      <w:tr>
        <w:tc>
          <w:tcPr>
            <w:tcW w:type="dxa" w:w="1440"/>
            <w:shd w:val="clear" w:color="auto" w:fill="ffffff"/>
          </w:tcPr>
          <w:p>
            <w:r>
              <w:rPr>
                <w:color w:val="374151"/>
                <w:sz w:val="20"/>
              </w:rPr>
              <w:t>Frontend</w:t>
            </w:r>
          </w:p>
        </w:tc>
        <w:tc>
          <w:tcPr>
            <w:tcW w:type="dxa" w:w="2592"/>
            <w:shd w:val="clear" w:color="auto" w:fill="ffffff"/>
          </w:tcPr>
          <w:p>
            <w:r>
              <w:rPr>
                <w:color w:val="374151"/>
                <w:sz w:val="20"/>
              </w:rPr>
              <w:t>Chart.js / D3.js</w:t>
            </w:r>
          </w:p>
        </w:tc>
        <w:tc>
          <w:tcPr>
            <w:tcW w:type="dxa" w:w="1440"/>
            <w:shd w:val="clear" w:color="auto" w:fill="ffffff"/>
          </w:tcPr>
          <w:p>
            <w:r>
              <w:rPr>
                <w:color w:val="374151"/>
                <w:sz w:val="20"/>
              </w:rPr>
              <w:t>4.5 / 7.9</w:t>
            </w:r>
          </w:p>
        </w:tc>
        <w:tc>
          <w:tcPr>
            <w:tcW w:type="dxa" w:w="4320"/>
            <w:shd w:val="clear" w:color="auto" w:fill="ffffff"/>
          </w:tcPr>
          <w:p>
            <w:r>
              <w:rPr>
                <w:color w:val="374151"/>
                <w:sz w:val="20"/>
              </w:rPr>
              <w:t>Data visualisation</w:t>
            </w:r>
          </w:p>
        </w:tc>
      </w:tr>
      <w:tr>
        <w:tc>
          <w:tcPr>
            <w:tcW w:type="dxa" w:w="1440"/>
            <w:shd w:val="clear" w:color="auto" w:fill="f0f4f8"/>
          </w:tcPr>
          <w:p>
            <w:r>
              <w:rPr>
                <w:color w:val="374151"/>
                <w:sz w:val="20"/>
              </w:rPr>
              <w:t>Frontend</w:t>
            </w:r>
          </w:p>
        </w:tc>
        <w:tc>
          <w:tcPr>
            <w:tcW w:type="dxa" w:w="2592"/>
            <w:shd w:val="clear" w:color="auto" w:fill="f0f4f8"/>
          </w:tcPr>
          <w:p>
            <w:r>
              <w:rPr>
                <w:color w:val="374151"/>
                <w:sz w:val="20"/>
              </w:rPr>
              <w:t>React Router</w:t>
            </w:r>
          </w:p>
        </w:tc>
        <w:tc>
          <w:tcPr>
            <w:tcW w:type="dxa" w:w="1440"/>
            <w:shd w:val="clear" w:color="auto" w:fill="f0f4f8"/>
          </w:tcPr>
          <w:p>
            <w:r>
              <w:rPr>
                <w:color w:val="374151"/>
                <w:sz w:val="20"/>
              </w:rPr>
              <w:t>7.14</w:t>
            </w:r>
          </w:p>
        </w:tc>
        <w:tc>
          <w:tcPr>
            <w:tcW w:type="dxa" w:w="4320"/>
            <w:shd w:val="clear" w:color="auto" w:fill="f0f4f8"/>
          </w:tcPr>
          <w:p>
            <w:r>
              <w:rPr>
                <w:color w:val="374151"/>
                <w:sz w:val="20"/>
              </w:rPr>
              <w:t>Client-side routing</w:t>
            </w:r>
          </w:p>
        </w:tc>
      </w:tr>
      <w:tr>
        <w:tc>
          <w:tcPr>
            <w:tcW w:type="dxa" w:w="1440"/>
            <w:shd w:val="clear" w:color="auto" w:fill="ffffff"/>
          </w:tcPr>
          <w:p>
            <w:r>
              <w:rPr>
                <w:color w:val="374151"/>
                <w:sz w:val="20"/>
              </w:rPr>
              <w:t>Frontend</w:t>
            </w:r>
          </w:p>
        </w:tc>
        <w:tc>
          <w:tcPr>
            <w:tcW w:type="dxa" w:w="2592"/>
            <w:shd w:val="clear" w:color="auto" w:fill="ffffff"/>
          </w:tcPr>
          <w:p>
            <w:r>
              <w:rPr>
                <w:color w:val="374151"/>
                <w:sz w:val="20"/>
              </w:rPr>
              <w:t>jsPDF</w:t>
            </w:r>
          </w:p>
        </w:tc>
        <w:tc>
          <w:tcPr>
            <w:tcW w:type="dxa" w:w="1440"/>
            <w:shd w:val="clear" w:color="auto" w:fill="ffffff"/>
          </w:tcPr>
          <w:p>
            <w:r>
              <w:rPr>
                <w:color w:val="374151"/>
                <w:sz w:val="20"/>
              </w:rPr>
              <w:t>4.2</w:t>
            </w:r>
          </w:p>
        </w:tc>
        <w:tc>
          <w:tcPr>
            <w:tcW w:type="dxa" w:w="4320"/>
            <w:shd w:val="clear" w:color="auto" w:fill="ffffff"/>
          </w:tcPr>
          <w:p>
            <w:r>
              <w:rPr>
                <w:color w:val="374151"/>
                <w:sz w:val="20"/>
              </w:rPr>
              <w:t>PDF report generation</w:t>
            </w:r>
          </w:p>
        </w:tc>
      </w:tr>
    </w:tbl>
    <w:p/>
    <w:p/>
    <w:p>
      <w:pPr>
        <w:spacing w:before="360" w:after="80"/>
      </w:pPr>
      <w:r>
        <w:rPr>
          <w:b/>
          <w:color w:val="1E3A5F"/>
          <w:sz w:val="36"/>
        </w:rPr>
        <w:t>8. Security Model</w:t>
      </w:r>
    </w:p>
    <w:p>
      <w:pPr>
        <w:pBdr>
          <w:bottom w:val="single" w:sz="6" w:space="1" w:color="1e3a5f"/>
        </w:pBdr>
        <w:spacing w:after="200" w:before="40"/>
      </w:pPr>
    </w:p>
    <w:p>
      <w:pPr>
        <w:pStyle w:val="ListBullet"/>
        <w:spacing w:after="60"/>
      </w:pPr>
      <w:r>
        <w:rPr>
          <w:color w:val="374151"/>
          <w:sz w:val="22"/>
        </w:rPr>
        <w:t>Token-based authentication (DRF TokenAuthentication) — credentials never sent after login</w:t>
      </w:r>
    </w:p>
    <w:p>
      <w:pPr>
        <w:pStyle w:val="ListBullet"/>
        <w:spacing w:after="60"/>
      </w:pPr>
      <w:r>
        <w:rPr>
          <w:color w:val="374151"/>
          <w:sz w:val="22"/>
        </w:rPr>
        <w:t>All API endpoints require a valid token (IsAuthenticated permission class)</w:t>
      </w:r>
    </w:p>
    <w:p>
      <w:pPr>
        <w:pStyle w:val="ListBullet"/>
        <w:spacing w:after="60"/>
      </w:pPr>
      <w:r>
        <w:rPr>
          <w:color w:val="374151"/>
          <w:sz w:val="22"/>
        </w:rPr>
        <w:t>Role enforcement server-side — students cannot access other students' data even via direct API calls</w:t>
      </w:r>
    </w:p>
    <w:p>
      <w:pPr>
        <w:pStyle w:val="ListBullet"/>
        <w:spacing w:after="60"/>
      </w:pPr>
      <w:r>
        <w:rPr>
          <w:color w:val="374151"/>
          <w:sz w:val="22"/>
        </w:rPr>
        <w:t>CORS configured via django-cors-headers — restrict ALLOWED_HOSTS in production</w:t>
      </w:r>
    </w:p>
    <w:p>
      <w:pPr>
        <w:pStyle w:val="ListBullet"/>
        <w:spacing w:after="60"/>
      </w:pPr>
      <w:r>
        <w:rPr>
          <w:color w:val="374151"/>
          <w:sz w:val="22"/>
        </w:rPr>
        <w:t>Django's built-in password hashing (PBKDF2) for all user passwords</w:t>
      </w:r>
    </w:p>
    <w:p/>
    <w:p>
      <w:pPr>
        <w:spacing w:before="360" w:after="80"/>
      </w:pPr>
      <w:r>
        <w:rPr>
          <w:b/>
          <w:color w:val="1E3A5F"/>
          <w:sz w:val="36"/>
        </w:rPr>
        <w:t>9. Dataset</w:t>
      </w:r>
    </w:p>
    <w:p>
      <w:pPr>
        <w:pBdr>
          <w:bottom w:val="single" w:sz="6" w:space="1" w:color="1e3a5f"/>
        </w:pBdr>
        <w:spacing w:after="200" w:before="40"/>
      </w:pPr>
    </w:p>
    <w:p>
      <w:pPr>
        <w:spacing w:after="120"/>
      </w:pPr>
      <w:r>
        <w:rPr>
          <w:b w:val="0"/>
          <w:i w:val="0"/>
          <w:color w:val="374151"/>
          <w:sz w:val="22"/>
        </w:rPr>
        <w:t>The system is trained and seeded with the Open University Learning Analytics Dataset (OULAD), a publicly available anonymised dataset from The Open University (UK).</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1e3a5f"/>
            <w:vAlign w:val="center"/>
          </w:tcPr>
          <w:p>
            <w:r>
              <w:rPr>
                <w:b/>
                <w:color w:val="FFFFFF"/>
                <w:sz w:val="20"/>
              </w:rPr>
              <w:t>File</w:t>
            </w:r>
          </w:p>
        </w:tc>
        <w:tc>
          <w:tcPr>
            <w:tcW w:type="dxa" w:w="1440"/>
            <w:shd w:val="clear" w:color="auto" w:fill="1e3a5f"/>
            <w:vAlign w:val="center"/>
          </w:tcPr>
          <w:p>
            <w:r>
              <w:rPr>
                <w:b/>
                <w:color w:val="FFFFFF"/>
                <w:sz w:val="20"/>
              </w:rPr>
              <w:t>Records</w:t>
            </w:r>
          </w:p>
        </w:tc>
        <w:tc>
          <w:tcPr>
            <w:tcW w:type="dxa" w:w="5328"/>
            <w:shd w:val="clear" w:color="auto" w:fill="1e3a5f"/>
            <w:vAlign w:val="center"/>
          </w:tcPr>
          <w:p>
            <w:r>
              <w:rPr>
                <w:b/>
                <w:color w:val="FFFFFF"/>
                <w:sz w:val="20"/>
              </w:rPr>
              <w:t>Description</w:t>
            </w:r>
          </w:p>
        </w:tc>
      </w:tr>
      <w:tr>
        <w:tc>
          <w:tcPr>
            <w:tcW w:type="dxa" w:w="2880"/>
            <w:shd w:val="clear" w:color="auto" w:fill="f0f4f8"/>
          </w:tcPr>
          <w:p>
            <w:r>
              <w:rPr>
                <w:color w:val="374151"/>
                <w:sz w:val="20"/>
              </w:rPr>
              <w:t>studentInfo.csv</w:t>
            </w:r>
          </w:p>
        </w:tc>
        <w:tc>
          <w:tcPr>
            <w:tcW w:type="dxa" w:w="1440"/>
            <w:shd w:val="clear" w:color="auto" w:fill="f0f4f8"/>
          </w:tcPr>
          <w:p>
            <w:r>
              <w:rPr>
                <w:color w:val="374151"/>
                <w:sz w:val="20"/>
              </w:rPr>
              <w:t>32,593</w:t>
            </w:r>
          </w:p>
        </w:tc>
        <w:tc>
          <w:tcPr>
            <w:tcW w:type="dxa" w:w="5328"/>
            <w:shd w:val="clear" w:color="auto" w:fill="f0f4f8"/>
          </w:tcPr>
          <w:p>
            <w:r>
              <w:rPr>
                <w:color w:val="374151"/>
                <w:sz w:val="20"/>
              </w:rPr>
              <w:t>Demographics and final outcomes per student-module</w:t>
            </w:r>
          </w:p>
        </w:tc>
      </w:tr>
      <w:tr>
        <w:tc>
          <w:tcPr>
            <w:tcW w:type="dxa" w:w="2880"/>
            <w:shd w:val="clear" w:color="auto" w:fill="ffffff"/>
          </w:tcPr>
          <w:p>
            <w:r>
              <w:rPr>
                <w:color w:val="374151"/>
                <w:sz w:val="20"/>
              </w:rPr>
              <w:t>studentAssessment.csv</w:t>
            </w:r>
          </w:p>
        </w:tc>
        <w:tc>
          <w:tcPr>
            <w:tcW w:type="dxa" w:w="1440"/>
            <w:shd w:val="clear" w:color="auto" w:fill="ffffff"/>
          </w:tcPr>
          <w:p>
            <w:r>
              <w:rPr>
                <w:color w:val="374151"/>
                <w:sz w:val="20"/>
              </w:rPr>
              <w:t>173,912</w:t>
            </w:r>
          </w:p>
        </w:tc>
        <w:tc>
          <w:tcPr>
            <w:tcW w:type="dxa" w:w="5328"/>
            <w:shd w:val="clear" w:color="auto" w:fill="ffffff"/>
          </w:tcPr>
          <w:p>
            <w:r>
              <w:rPr>
                <w:color w:val="374151"/>
                <w:sz w:val="20"/>
              </w:rPr>
              <w:t>Assessment submission scores</w:t>
            </w:r>
          </w:p>
        </w:tc>
      </w:tr>
      <w:tr>
        <w:tc>
          <w:tcPr>
            <w:tcW w:type="dxa" w:w="2880"/>
            <w:shd w:val="clear" w:color="auto" w:fill="f0f4f8"/>
          </w:tcPr>
          <w:p>
            <w:r>
              <w:rPr>
                <w:color w:val="374151"/>
                <w:sz w:val="20"/>
              </w:rPr>
              <w:t>assessments.csv</w:t>
            </w:r>
          </w:p>
        </w:tc>
        <w:tc>
          <w:tcPr>
            <w:tcW w:type="dxa" w:w="1440"/>
            <w:shd w:val="clear" w:color="auto" w:fill="f0f4f8"/>
          </w:tcPr>
          <w:p>
            <w:r>
              <w:rPr>
                <w:color w:val="374151"/>
                <w:sz w:val="20"/>
              </w:rPr>
              <w:t>206</w:t>
            </w:r>
          </w:p>
        </w:tc>
        <w:tc>
          <w:tcPr>
            <w:tcW w:type="dxa" w:w="5328"/>
            <w:shd w:val="clear" w:color="auto" w:fill="f0f4f8"/>
          </w:tcPr>
          <w:p>
            <w:r>
              <w:rPr>
                <w:color w:val="374151"/>
                <w:sz w:val="20"/>
              </w:rPr>
              <w:t>Assessment metadata (type, weight, date)</w:t>
            </w:r>
          </w:p>
        </w:tc>
      </w:tr>
      <w:tr>
        <w:tc>
          <w:tcPr>
            <w:tcW w:type="dxa" w:w="2880"/>
            <w:shd w:val="clear" w:color="auto" w:fill="ffffff"/>
          </w:tcPr>
          <w:p>
            <w:r>
              <w:rPr>
                <w:color w:val="374151"/>
                <w:sz w:val="20"/>
              </w:rPr>
              <w:t>studentVle.csv</w:t>
            </w:r>
          </w:p>
        </w:tc>
        <w:tc>
          <w:tcPr>
            <w:tcW w:type="dxa" w:w="1440"/>
            <w:shd w:val="clear" w:color="auto" w:fill="ffffff"/>
          </w:tcPr>
          <w:p>
            <w:r>
              <w:rPr>
                <w:color w:val="374151"/>
                <w:sz w:val="20"/>
              </w:rPr>
              <w:t>10.6M</w:t>
            </w:r>
          </w:p>
        </w:tc>
        <w:tc>
          <w:tcPr>
            <w:tcW w:type="dxa" w:w="5328"/>
            <w:shd w:val="clear" w:color="auto" w:fill="ffffff"/>
          </w:tcPr>
          <w:p>
            <w:r>
              <w:rPr>
                <w:color w:val="374151"/>
                <w:sz w:val="20"/>
              </w:rPr>
              <w:t>Daily VLE interaction click counts</w:t>
            </w:r>
          </w:p>
        </w:tc>
      </w:tr>
      <w:tr>
        <w:tc>
          <w:tcPr>
            <w:tcW w:type="dxa" w:w="2880"/>
            <w:shd w:val="clear" w:color="auto" w:fill="f0f4f8"/>
          </w:tcPr>
          <w:p>
            <w:r>
              <w:rPr>
                <w:color w:val="374151"/>
                <w:sz w:val="20"/>
              </w:rPr>
              <w:t>studentRegistration.csv</w:t>
            </w:r>
          </w:p>
        </w:tc>
        <w:tc>
          <w:tcPr>
            <w:tcW w:type="dxa" w:w="1440"/>
            <w:shd w:val="clear" w:color="auto" w:fill="f0f4f8"/>
          </w:tcPr>
          <w:p>
            <w:r>
              <w:rPr>
                <w:color w:val="374151"/>
                <w:sz w:val="20"/>
              </w:rPr>
              <w:t>32,593</w:t>
            </w:r>
          </w:p>
        </w:tc>
        <w:tc>
          <w:tcPr>
            <w:tcW w:type="dxa" w:w="5328"/>
            <w:shd w:val="clear" w:color="auto" w:fill="f0f4f8"/>
          </w:tcPr>
          <w:p>
            <w:r>
              <w:rPr>
                <w:color w:val="374151"/>
                <w:sz w:val="20"/>
              </w:rPr>
              <w:t>Module registration and withdrawal dates</w:t>
            </w:r>
          </w:p>
        </w:tc>
      </w:tr>
      <w:tr>
        <w:tc>
          <w:tcPr>
            <w:tcW w:type="dxa" w:w="2880"/>
            <w:shd w:val="clear" w:color="auto" w:fill="ffffff"/>
          </w:tcPr>
          <w:p>
            <w:r>
              <w:rPr>
                <w:color w:val="374151"/>
                <w:sz w:val="20"/>
              </w:rPr>
              <w:t>vle.csv</w:t>
            </w:r>
          </w:p>
        </w:tc>
        <w:tc>
          <w:tcPr>
            <w:tcW w:type="dxa" w:w="1440"/>
            <w:shd w:val="clear" w:color="auto" w:fill="ffffff"/>
          </w:tcPr>
          <w:p>
            <w:r>
              <w:rPr>
                <w:color w:val="374151"/>
                <w:sz w:val="20"/>
              </w:rPr>
              <w:t>6,364</w:t>
            </w:r>
          </w:p>
        </w:tc>
        <w:tc>
          <w:tcPr>
            <w:tcW w:type="dxa" w:w="5328"/>
            <w:shd w:val="clear" w:color="auto" w:fill="ffffff"/>
          </w:tcPr>
          <w:p>
            <w:r>
              <w:rPr>
                <w:color w:val="374151"/>
                <w:sz w:val="20"/>
              </w:rPr>
              <w:t>Virtual Learning Environment resource metadata</w:t>
            </w:r>
          </w:p>
        </w:tc>
      </w:tr>
      <w:tr>
        <w:tc>
          <w:tcPr>
            <w:tcW w:type="dxa" w:w="2880"/>
            <w:shd w:val="clear" w:color="auto" w:fill="f0f4f8"/>
          </w:tcPr>
          <w:p>
            <w:r>
              <w:rPr>
                <w:color w:val="374151"/>
                <w:sz w:val="20"/>
              </w:rPr>
              <w:t>courses.csv</w:t>
            </w:r>
          </w:p>
        </w:tc>
        <w:tc>
          <w:tcPr>
            <w:tcW w:type="dxa" w:w="1440"/>
            <w:shd w:val="clear" w:color="auto" w:fill="f0f4f8"/>
          </w:tcPr>
          <w:p>
            <w:r>
              <w:rPr>
                <w:color w:val="374151"/>
                <w:sz w:val="20"/>
              </w:rPr>
              <w:t>22</w:t>
            </w:r>
          </w:p>
        </w:tc>
        <w:tc>
          <w:tcPr>
            <w:tcW w:type="dxa" w:w="5328"/>
            <w:shd w:val="clear" w:color="auto" w:fill="f0f4f8"/>
          </w:tcPr>
          <w:p>
            <w:r>
              <w:rPr>
                <w:color w:val="374151"/>
                <w:sz w:val="20"/>
              </w:rPr>
              <w:t>Module and presentation identifiers</w:t>
            </w:r>
          </w:p>
        </w:tc>
      </w:tr>
    </w:tbl>
    <w:p/>
    <w:p/>
    <w:p>
      <w:pPr>
        <w:spacing w:before="360" w:after="80"/>
      </w:pPr>
      <w:r>
        <w:rPr>
          <w:b/>
          <w:color w:val="1E3A5F"/>
          <w:sz w:val="36"/>
        </w:rPr>
        <w:t>10. Quick Start Reference</w:t>
      </w:r>
    </w:p>
    <w:p>
      <w:pPr>
        <w:pBdr>
          <w:bottom w:val="single" w:sz="6" w:space="1" w:color="1e3a5f"/>
        </w:pBdr>
        <w:spacing w:after="200" w:before="40"/>
      </w:pPr>
    </w:p>
    <w:tbl>
      <w:tblPr>
        <w:tblStyle w:val="TableGrid"/>
        <w:tblW w:type="auto" w:w="0"/>
        <w:jc w:val="left"/>
        <w:tblLook w:firstColumn="1" w:firstRow="1" w:lastColumn="0" w:lastRow="0" w:noHBand="0" w:noVBand="1" w:val="04A0"/>
      </w:tblPr>
      <w:tblGrid>
        <w:gridCol w:w="3022"/>
        <w:gridCol w:w="3022"/>
        <w:gridCol w:w="3022"/>
      </w:tblGrid>
      <w:tr>
        <w:tc>
          <w:tcPr>
            <w:tcW w:type="dxa" w:w="576"/>
            <w:shd w:val="clear" w:color="auto" w:fill="1e3a5f"/>
            <w:vAlign w:val="center"/>
          </w:tcPr>
          <w:p>
            <w:r>
              <w:rPr>
                <w:b/>
                <w:color w:val="FFFFFF"/>
                <w:sz w:val="20"/>
              </w:rPr>
              <w:t>Step</w:t>
            </w:r>
          </w:p>
        </w:tc>
        <w:tc>
          <w:tcPr>
            <w:tcW w:type="dxa" w:w="4032"/>
            <w:shd w:val="clear" w:color="auto" w:fill="1e3a5f"/>
            <w:vAlign w:val="center"/>
          </w:tcPr>
          <w:p>
            <w:r>
              <w:rPr>
                <w:b/>
                <w:color w:val="FFFFFF"/>
                <w:sz w:val="20"/>
              </w:rPr>
              <w:t>Command / Action</w:t>
            </w:r>
          </w:p>
        </w:tc>
        <w:tc>
          <w:tcPr>
            <w:tcW w:type="dxa" w:w="5040"/>
            <w:shd w:val="clear" w:color="auto" w:fill="1e3a5f"/>
            <w:vAlign w:val="center"/>
          </w:tcPr>
          <w:p>
            <w:r>
              <w:rPr>
                <w:b/>
                <w:color w:val="FFFFFF"/>
                <w:sz w:val="20"/>
              </w:rPr>
              <w:t>Notes</w:t>
            </w:r>
          </w:p>
        </w:tc>
      </w:tr>
      <w:tr>
        <w:tc>
          <w:tcPr>
            <w:tcW w:type="dxa" w:w="576"/>
            <w:shd w:val="clear" w:color="auto" w:fill="f0f4f8"/>
          </w:tcPr>
          <w:p>
            <w:r>
              <w:rPr>
                <w:color w:val="374151"/>
                <w:sz w:val="20"/>
              </w:rPr>
              <w:t>1</w:t>
            </w:r>
          </w:p>
        </w:tc>
        <w:tc>
          <w:tcPr>
            <w:tcW w:type="dxa" w:w="4032"/>
            <w:shd w:val="clear" w:color="auto" w:fill="f0f4f8"/>
          </w:tcPr>
          <w:p>
            <w:r>
              <w:rPr>
                <w:color w:val="374151"/>
                <w:sz w:val="20"/>
              </w:rPr>
              <w:t>python -m venv venv  →  venv\Scripts\activate</w:t>
            </w:r>
          </w:p>
        </w:tc>
        <w:tc>
          <w:tcPr>
            <w:tcW w:type="dxa" w:w="5040"/>
            <w:shd w:val="clear" w:color="auto" w:fill="f0f4f8"/>
          </w:tcPr>
          <w:p>
            <w:r>
              <w:rPr>
                <w:color w:val="374151"/>
                <w:sz w:val="20"/>
              </w:rPr>
              <w:t>Create &amp; activate virtual environment</w:t>
            </w:r>
          </w:p>
        </w:tc>
      </w:tr>
      <w:tr>
        <w:tc>
          <w:tcPr>
            <w:tcW w:type="dxa" w:w="576"/>
            <w:shd w:val="clear" w:color="auto" w:fill="ffffff"/>
          </w:tcPr>
          <w:p>
            <w:r>
              <w:rPr>
                <w:color w:val="374151"/>
                <w:sz w:val="20"/>
              </w:rPr>
              <w:t>2</w:t>
            </w:r>
          </w:p>
        </w:tc>
        <w:tc>
          <w:tcPr>
            <w:tcW w:type="dxa" w:w="4032"/>
            <w:shd w:val="clear" w:color="auto" w:fill="ffffff"/>
          </w:tcPr>
          <w:p>
            <w:r>
              <w:rPr>
                <w:color w:val="374151"/>
                <w:sz w:val="20"/>
              </w:rPr>
              <w:t>pip install -r requirements.txt</w:t>
            </w:r>
          </w:p>
        </w:tc>
        <w:tc>
          <w:tcPr>
            <w:tcW w:type="dxa" w:w="5040"/>
            <w:shd w:val="clear" w:color="auto" w:fill="ffffff"/>
          </w:tcPr>
          <w:p>
            <w:r>
              <w:rPr>
                <w:color w:val="374151"/>
                <w:sz w:val="20"/>
              </w:rPr>
              <w:t>Install all Python dependencies</w:t>
            </w:r>
          </w:p>
        </w:tc>
      </w:tr>
      <w:tr>
        <w:tc>
          <w:tcPr>
            <w:tcW w:type="dxa" w:w="576"/>
            <w:shd w:val="clear" w:color="auto" w:fill="f0f4f8"/>
          </w:tcPr>
          <w:p>
            <w:r>
              <w:rPr>
                <w:color w:val="374151"/>
                <w:sz w:val="20"/>
              </w:rPr>
              <w:t>3</w:t>
            </w:r>
          </w:p>
        </w:tc>
        <w:tc>
          <w:tcPr>
            <w:tcW w:type="dxa" w:w="4032"/>
            <w:shd w:val="clear" w:color="auto" w:fill="f0f4f8"/>
          </w:tcPr>
          <w:p>
            <w:r>
              <w:rPr>
                <w:color w:val="374151"/>
                <w:sz w:val="20"/>
              </w:rPr>
              <w:t>python ml\preprocessing.py</w:t>
            </w:r>
          </w:p>
        </w:tc>
        <w:tc>
          <w:tcPr>
            <w:tcW w:type="dxa" w:w="5040"/>
            <w:shd w:val="clear" w:color="auto" w:fill="f0f4f8"/>
          </w:tcPr>
          <w:p>
            <w:r>
              <w:rPr>
                <w:color w:val="374151"/>
                <w:sz w:val="20"/>
              </w:rPr>
              <w:t>Process raw dataset → processed_data.csv</w:t>
            </w:r>
          </w:p>
        </w:tc>
      </w:tr>
      <w:tr>
        <w:tc>
          <w:tcPr>
            <w:tcW w:type="dxa" w:w="576"/>
            <w:shd w:val="clear" w:color="auto" w:fill="ffffff"/>
          </w:tcPr>
          <w:p>
            <w:r>
              <w:rPr>
                <w:color w:val="374151"/>
                <w:sz w:val="20"/>
              </w:rPr>
              <w:t>4</w:t>
            </w:r>
          </w:p>
        </w:tc>
        <w:tc>
          <w:tcPr>
            <w:tcW w:type="dxa" w:w="4032"/>
            <w:shd w:val="clear" w:color="auto" w:fill="ffffff"/>
          </w:tcPr>
          <w:p>
            <w:r>
              <w:rPr>
                <w:color w:val="374151"/>
                <w:sz w:val="20"/>
              </w:rPr>
              <w:t>python ml\train_model.py</w:t>
            </w:r>
          </w:p>
        </w:tc>
        <w:tc>
          <w:tcPr>
            <w:tcW w:type="dxa" w:w="5040"/>
            <w:shd w:val="clear" w:color="auto" w:fill="ffffff"/>
          </w:tcPr>
          <w:p>
            <w:r>
              <w:rPr>
                <w:color w:val="374151"/>
                <w:sz w:val="20"/>
              </w:rPr>
              <w:t>Train model → .pkl files</w:t>
            </w:r>
          </w:p>
        </w:tc>
      </w:tr>
      <w:tr>
        <w:tc>
          <w:tcPr>
            <w:tcW w:type="dxa" w:w="576"/>
            <w:shd w:val="clear" w:color="auto" w:fill="f0f4f8"/>
          </w:tcPr>
          <w:p>
            <w:r>
              <w:rPr>
                <w:color w:val="374151"/>
                <w:sz w:val="20"/>
              </w:rPr>
              <w:t>5</w:t>
            </w:r>
          </w:p>
        </w:tc>
        <w:tc>
          <w:tcPr>
            <w:tcW w:type="dxa" w:w="4032"/>
            <w:shd w:val="clear" w:color="auto" w:fill="f0f4f8"/>
          </w:tcPr>
          <w:p>
            <w:r>
              <w:rPr>
                <w:color w:val="374151"/>
                <w:sz w:val="20"/>
              </w:rPr>
              <w:t>cd backend  →  python manage.py migrate</w:t>
            </w:r>
          </w:p>
        </w:tc>
        <w:tc>
          <w:tcPr>
            <w:tcW w:type="dxa" w:w="5040"/>
            <w:shd w:val="clear" w:color="auto" w:fill="f0f4f8"/>
          </w:tcPr>
          <w:p>
            <w:r>
              <w:rPr>
                <w:color w:val="374151"/>
                <w:sz w:val="20"/>
              </w:rPr>
              <w:t>Apply database migrations</w:t>
            </w:r>
          </w:p>
        </w:tc>
      </w:tr>
      <w:tr>
        <w:tc>
          <w:tcPr>
            <w:tcW w:type="dxa" w:w="576"/>
            <w:shd w:val="clear" w:color="auto" w:fill="ffffff"/>
          </w:tcPr>
          <w:p>
            <w:r>
              <w:rPr>
                <w:color w:val="374151"/>
                <w:sz w:val="20"/>
              </w:rPr>
              <w:t>6</w:t>
            </w:r>
          </w:p>
        </w:tc>
        <w:tc>
          <w:tcPr>
            <w:tcW w:type="dxa" w:w="4032"/>
            <w:shd w:val="clear" w:color="auto" w:fill="ffffff"/>
          </w:tcPr>
          <w:p>
            <w:r>
              <w:rPr>
                <w:color w:val="374151"/>
                <w:sz w:val="20"/>
              </w:rPr>
              <w:t>python manage.py import_data</w:t>
            </w:r>
          </w:p>
        </w:tc>
        <w:tc>
          <w:tcPr>
            <w:tcW w:type="dxa" w:w="5040"/>
            <w:shd w:val="clear" w:color="auto" w:fill="ffffff"/>
          </w:tcPr>
          <w:p>
            <w:r>
              <w:rPr>
                <w:color w:val="374151"/>
                <w:sz w:val="20"/>
              </w:rPr>
              <w:t>Load student records into DB</w:t>
            </w:r>
          </w:p>
        </w:tc>
      </w:tr>
      <w:tr>
        <w:tc>
          <w:tcPr>
            <w:tcW w:type="dxa" w:w="576"/>
            <w:shd w:val="clear" w:color="auto" w:fill="f0f4f8"/>
          </w:tcPr>
          <w:p>
            <w:r>
              <w:rPr>
                <w:color w:val="374151"/>
                <w:sz w:val="20"/>
              </w:rPr>
              <w:t>7</w:t>
            </w:r>
          </w:p>
        </w:tc>
        <w:tc>
          <w:tcPr>
            <w:tcW w:type="dxa" w:w="4032"/>
            <w:shd w:val="clear" w:color="auto" w:fill="f0f4f8"/>
          </w:tcPr>
          <w:p>
            <w:r>
              <w:rPr>
                <w:color w:val="374151"/>
                <w:sz w:val="20"/>
              </w:rPr>
              <w:t>python manage.py createsuperuser</w:t>
            </w:r>
          </w:p>
        </w:tc>
        <w:tc>
          <w:tcPr>
            <w:tcW w:type="dxa" w:w="5040"/>
            <w:shd w:val="clear" w:color="auto" w:fill="f0f4f8"/>
          </w:tcPr>
          <w:p>
            <w:r>
              <w:rPr>
                <w:color w:val="374151"/>
                <w:sz w:val="20"/>
              </w:rPr>
              <w:t>Create advisor account</w:t>
            </w:r>
          </w:p>
        </w:tc>
      </w:tr>
      <w:tr>
        <w:tc>
          <w:tcPr>
            <w:tcW w:type="dxa" w:w="576"/>
            <w:shd w:val="clear" w:color="auto" w:fill="ffffff"/>
          </w:tcPr>
          <w:p>
            <w:r>
              <w:rPr>
                <w:color w:val="374151"/>
                <w:sz w:val="20"/>
              </w:rPr>
              <w:t>8</w:t>
            </w:r>
          </w:p>
        </w:tc>
        <w:tc>
          <w:tcPr>
            <w:tcW w:type="dxa" w:w="4032"/>
            <w:shd w:val="clear" w:color="auto" w:fill="ffffff"/>
          </w:tcPr>
          <w:p>
            <w:r>
              <w:rPr>
                <w:color w:val="374151"/>
                <w:sz w:val="20"/>
              </w:rPr>
              <w:t>python manage.py runserver</w:t>
            </w:r>
          </w:p>
        </w:tc>
        <w:tc>
          <w:tcPr>
            <w:tcW w:type="dxa" w:w="5040"/>
            <w:shd w:val="clear" w:color="auto" w:fill="ffffff"/>
          </w:tcPr>
          <w:p>
            <w:r>
              <w:rPr>
                <w:color w:val="374151"/>
                <w:sz w:val="20"/>
              </w:rPr>
              <w:t>Start backend on port 8000</w:t>
            </w:r>
          </w:p>
        </w:tc>
      </w:tr>
      <w:tr>
        <w:tc>
          <w:tcPr>
            <w:tcW w:type="dxa" w:w="576"/>
            <w:shd w:val="clear" w:color="auto" w:fill="f0f4f8"/>
          </w:tcPr>
          <w:p>
            <w:r>
              <w:rPr>
                <w:color w:val="374151"/>
                <w:sz w:val="20"/>
              </w:rPr>
              <w:t>9</w:t>
            </w:r>
          </w:p>
        </w:tc>
        <w:tc>
          <w:tcPr>
            <w:tcW w:type="dxa" w:w="4032"/>
            <w:shd w:val="clear" w:color="auto" w:fill="f0f4f8"/>
          </w:tcPr>
          <w:p>
            <w:r>
              <w:rPr>
                <w:color w:val="374151"/>
                <w:sz w:val="20"/>
              </w:rPr>
              <w:t>cd frontend  →  npm install  →  npm run dev</w:t>
            </w:r>
          </w:p>
        </w:tc>
        <w:tc>
          <w:tcPr>
            <w:tcW w:type="dxa" w:w="5040"/>
            <w:shd w:val="clear" w:color="auto" w:fill="f0f4f8"/>
          </w:tcPr>
          <w:p>
            <w:r>
              <w:rPr>
                <w:color w:val="374151"/>
                <w:sz w:val="20"/>
              </w:rPr>
              <w:t>Start frontend on port 5173</w:t>
            </w:r>
          </w:p>
        </w:tc>
      </w:tr>
      <w:tr>
        <w:tc>
          <w:tcPr>
            <w:tcW w:type="dxa" w:w="576"/>
            <w:shd w:val="clear" w:color="auto" w:fill="ffffff"/>
          </w:tcPr>
          <w:p>
            <w:r>
              <w:rPr>
                <w:color w:val="374151"/>
                <w:sz w:val="20"/>
              </w:rPr>
              <w:t>10</w:t>
            </w:r>
          </w:p>
        </w:tc>
        <w:tc>
          <w:tcPr>
            <w:tcW w:type="dxa" w:w="4032"/>
            <w:shd w:val="clear" w:color="auto" w:fill="ffffff"/>
          </w:tcPr>
          <w:p>
            <w:r>
              <w:rPr>
                <w:color w:val="374151"/>
                <w:sz w:val="20"/>
              </w:rPr>
              <w:t>Open http://localhost:5173</w:t>
            </w:r>
          </w:p>
        </w:tc>
        <w:tc>
          <w:tcPr>
            <w:tcW w:type="dxa" w:w="5040"/>
            <w:shd w:val="clear" w:color="auto" w:fill="ffffff"/>
          </w:tcPr>
          <w:p>
            <w:r>
              <w:rPr>
                <w:color w:val="374151"/>
                <w:sz w:val="20"/>
              </w:rPr>
              <w:t>Access the application</w:t>
            </w:r>
          </w:p>
        </w:tc>
      </w:tr>
    </w:tbl>
    <w:p/>
    <w:p/>
    <w:p>
      <w:pPr>
        <w:spacing w:before="360" w:after="80"/>
      </w:pPr>
      <w:r>
        <w:rPr>
          <w:b/>
          <w:color w:val="1E3A5F"/>
          <w:sz w:val="36"/>
        </w:rPr>
        <w:t>11. Potential Future Enhancements</w:t>
      </w:r>
    </w:p>
    <w:p>
      <w:pPr>
        <w:pBdr>
          <w:bottom w:val="single" w:sz="6" w:space="1" w:color="1e3a5f"/>
        </w:pBdr>
        <w:spacing w:after="200" w:before="40"/>
      </w:pPr>
    </w:p>
    <w:p>
      <w:pPr>
        <w:pStyle w:val="ListBullet"/>
        <w:spacing w:after="60"/>
      </w:pPr>
      <w:r>
        <w:rPr>
          <w:color w:val="374151"/>
          <w:sz w:val="22"/>
        </w:rPr>
        <w:t>Live data ingestion pipeline — replace batch CSV import with real-time LMS integration</w:t>
      </w:r>
    </w:p>
    <w:p>
      <w:pPr>
        <w:pStyle w:val="ListBullet"/>
        <w:spacing w:after="60"/>
      </w:pPr>
      <w:r>
        <w:rPr>
          <w:color w:val="374151"/>
          <w:sz w:val="22"/>
        </w:rPr>
        <w:t>Email / SMS notification system for automated advisor alerts</w:t>
      </w:r>
    </w:p>
    <w:p>
      <w:pPr>
        <w:pStyle w:val="ListBullet"/>
        <w:spacing w:after="60"/>
      </w:pPr>
      <w:r>
        <w:rPr>
          <w:color w:val="374151"/>
          <w:sz w:val="22"/>
        </w:rPr>
        <w:t>Explainable AI (SHAP values) — show advisors which factors drove a specific student's risk score</w:t>
      </w:r>
    </w:p>
    <w:p>
      <w:pPr>
        <w:pStyle w:val="ListBullet"/>
        <w:spacing w:after="60"/>
      </w:pPr>
      <w:r>
        <w:rPr>
          <w:color w:val="374151"/>
          <w:sz w:val="22"/>
        </w:rPr>
        <w:t>Multi-institution support with tenant isolation</w:t>
      </w:r>
    </w:p>
    <w:p>
      <w:pPr>
        <w:pStyle w:val="ListBullet"/>
        <w:spacing w:after="60"/>
      </w:pPr>
      <w:r>
        <w:rPr>
          <w:color w:val="374151"/>
          <w:sz w:val="22"/>
        </w:rPr>
        <w:t>Mobile-responsive PWA for students to track progress on their phones</w:t>
      </w:r>
    </w:p>
    <w:p>
      <w:pPr>
        <w:pStyle w:val="ListBullet"/>
        <w:spacing w:after="60"/>
      </w:pPr>
      <w:r>
        <w:rPr>
          <w:color w:val="374151"/>
          <w:sz w:val="22"/>
        </w:rPr>
        <w:t>A/B testing of intervention strategies to measure which approaches reduce dropout most</w:t>
      </w:r>
    </w:p>
    <w:p>
      <w:pPr>
        <w:pStyle w:val="ListBullet"/>
        <w:spacing w:after="60"/>
      </w:pPr>
      <w:r>
        <w:rPr>
          <w:color w:val="374151"/>
          <w:sz w:val="22"/>
        </w:rPr>
        <w:t>MySQL / PostgreSQL migration for production-grade scalability</w:t>
      </w:r>
    </w:p>
    <w:p/>
    <w:p>
      <w:pPr>
        <w:pBdr>
          <w:bottom w:val="single" w:sz="6" w:space="1" w:color="1e3a5f"/>
        </w:pBdr>
        <w:spacing w:after="200" w:before="40"/>
      </w:pPr>
    </w:p>
    <w:p>
      <w:pPr>
        <w:jc w:val="center"/>
      </w:pPr>
      <w:r>
        <w:rPr>
          <w:i/>
          <w:color w:val="6B7280"/>
          <w:sz w:val="18"/>
        </w:rPr>
        <w:t>EduSense — AI-Powered Student Early Warning System  |  Document generated June 03,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