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792000" cy="11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ongitu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11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sz w:val="32"/>
        </w:rPr>
        <w:t>RELATÓRIO DE ANÁLISE DE SOBREPOSIÇÃO</w:t>
      </w:r>
    </w:p>
    <w:p>
      <w:pPr>
        <w:spacing w:after="160"/>
      </w:pPr>
      <w:r>
        <w:rPr>
          <w:b/>
          <w:sz w:val="22"/>
        </w:rPr>
        <w:t>Longitude Assessoria Rural e Urbano</w:t>
      </w:r>
      <w:r>
        <w:br/>
      </w:r>
    </w:p>
    <w:p/>
    <w:p>
      <w:r>
        <w:rPr>
          <w:b/>
          <w:sz w:val="24"/>
        </w:rPr>
        <w:t>1. Identificação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top"/>
            <w:shd w:fill="E8EEF3"/>
          </w:tcPr>
          <w:p>
            <w:r/>
            <w:r>
              <w:rPr>
                <w:b/>
                <w:sz w:val="18"/>
              </w:rPr>
              <w:t>Data da análise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17/06/2026</w:t>
            </w:r>
          </w:p>
        </w:tc>
      </w:tr>
      <w:tr>
        <w:tc>
          <w:tcPr>
            <w:tcW w:type="dxa" w:w="5213"/>
            <w:vAlign w:val="top"/>
            <w:shd w:fill="E8EEF3"/>
          </w:tcPr>
          <w:p>
            <w:r/>
            <w:r>
              <w:rPr>
                <w:b/>
                <w:sz w:val="18"/>
              </w:rPr>
              <w:t>Área do perímetro analisado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1.886,1161 ha</w:t>
            </w:r>
          </w:p>
        </w:tc>
      </w:tr>
      <w:tr>
        <w:tc>
          <w:tcPr>
            <w:tcW w:type="dxa" w:w="5213"/>
            <w:vAlign w:val="top"/>
            <w:shd w:fill="E8EEF3"/>
          </w:tcPr>
          <w:p>
            <w:r/>
            <w:r>
              <w:rPr>
                <w:b/>
                <w:sz w:val="18"/>
              </w:rPr>
              <w:t>Área total sobreposta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1.937,8737 ha</w:t>
            </w:r>
          </w:p>
        </w:tc>
      </w:tr>
      <w:tr>
        <w:tc>
          <w:tcPr>
            <w:tcW w:type="dxa" w:w="5213"/>
            <w:vAlign w:val="top"/>
            <w:shd w:fill="E8EEF3"/>
          </w:tcPr>
          <w:p>
            <w:r/>
            <w:r>
              <w:rPr>
                <w:b/>
                <w:sz w:val="18"/>
              </w:rPr>
              <w:t>Percentual sobre o perímetro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102,74%</w:t>
            </w:r>
          </w:p>
        </w:tc>
      </w:tr>
      <w:tr>
        <w:tc>
          <w:tcPr>
            <w:tcW w:type="dxa" w:w="5213"/>
            <w:vAlign w:val="top"/>
            <w:shd w:fill="E8EEF3"/>
          </w:tcPr>
          <w:p>
            <w:r/>
            <w:r>
              <w:rPr>
                <w:b/>
                <w:sz w:val="18"/>
              </w:rPr>
              <w:t>Quantidade de sobreposições</w:t>
            </w:r>
          </w:p>
        </w:tc>
        <w:tc>
          <w:tcPr>
            <w:tcW w:type="dxa" w:w="5213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</w:tr>
    </w:tbl>
    <w:p>
      <w:r>
        <w:rPr>
          <w:b/>
          <w:sz w:val="24"/>
        </w:rPr>
        <w:t>2. Bases analisadas</w:t>
      </w:r>
    </w:p>
    <w:p>
      <w:r>
        <w:rPr>
          <w:sz w:val="20"/>
        </w:rPr>
        <w:t>Foram consideradas as feições carregadas/consultadas no sistema Longitude Geo Intelligence, incluindo base SIGEF local importada, CAR/SICAR consultado e demais perímetros disponíveis no momento da análise.</w:t>
      </w:r>
    </w:p>
    <w:p>
      <w:pPr>
        <w:sectPr>
          <w:pgSz w:w="12240" w:h="15840"/>
          <w:pgMar w:top="907" w:right="907" w:bottom="907" w:left="907" w:header="720" w:footer="720" w:gutter="0"/>
          <w:cols w:space="720"/>
          <w:docGrid w:linePitch="360"/>
        </w:sectPr>
      </w:pPr>
    </w:p>
    <w:p>
      <w:r>
        <w:rPr>
          <w:b/>
          <w:sz w:val="24"/>
        </w:rPr>
        <w:t>3. Quadro de sobreposições identificadas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rPr>
          <w:tblHeader w:val="true"/>
        </w:trPr>
        <w:tc>
          <w:tcPr>
            <w:tcW w:type="dxa" w:w="1471"/>
            <w:shd w:fill="003B5C"/>
            <w:vAlign w:val="top"/>
          </w:tcPr>
          <w:p>
            <w:pPr>
              <w:jc w:val="center"/>
            </w:pPr>
            <w:r/>
            <w:r>
              <w:rPr>
                <w:b/>
                <w:sz w:val="14"/>
              </w:rPr>
              <w:t>#</w:t>
            </w:r>
          </w:p>
        </w:tc>
        <w:tc>
          <w:tcPr>
            <w:tcW w:type="dxa" w:w="1471"/>
            <w:shd w:fill="003B5C"/>
            <w:vAlign w:val="top"/>
          </w:tcPr>
          <w:p>
            <w:pPr>
              <w:jc w:val="center"/>
            </w:pPr>
            <w:r/>
            <w:r>
              <w:rPr>
                <w:b/>
                <w:sz w:val="14"/>
              </w:rPr>
              <w:t>Origem</w:t>
            </w:r>
          </w:p>
        </w:tc>
        <w:tc>
          <w:tcPr>
            <w:tcW w:type="dxa" w:w="1471"/>
            <w:shd w:fill="003B5C"/>
            <w:vAlign w:val="top"/>
          </w:tcPr>
          <w:p>
            <w:pPr>
              <w:jc w:val="center"/>
            </w:pPr>
            <w:r/>
            <w:r>
              <w:rPr>
                <w:b/>
                <w:sz w:val="14"/>
              </w:rPr>
              <w:t>Código</w:t>
            </w:r>
          </w:p>
        </w:tc>
        <w:tc>
          <w:tcPr>
            <w:tcW w:type="dxa" w:w="1471"/>
            <w:shd w:fill="003B5C"/>
            <w:vAlign w:val="top"/>
          </w:tcPr>
          <w:p>
            <w:pPr>
              <w:jc w:val="center"/>
            </w:pPr>
            <w:r/>
            <w:r>
              <w:rPr>
                <w:b/>
                <w:sz w:val="14"/>
              </w:rPr>
              <w:t>SNCR/Cód. Imóvel</w:t>
            </w:r>
          </w:p>
        </w:tc>
        <w:tc>
          <w:tcPr>
            <w:tcW w:type="dxa" w:w="1471"/>
            <w:shd w:fill="003B5C"/>
            <w:vAlign w:val="top"/>
          </w:tcPr>
          <w:p>
            <w:pPr>
              <w:jc w:val="center"/>
            </w:pPr>
            <w:r/>
            <w:r>
              <w:rPr>
                <w:b/>
                <w:sz w:val="14"/>
              </w:rPr>
              <w:t>Nome</w:t>
            </w:r>
          </w:p>
        </w:tc>
        <w:tc>
          <w:tcPr>
            <w:tcW w:type="dxa" w:w="1471"/>
            <w:shd w:fill="003B5C"/>
            <w:vAlign w:val="top"/>
          </w:tcPr>
          <w:p>
            <w:pPr>
              <w:jc w:val="center"/>
            </w:pPr>
            <w:r/>
            <w:r>
              <w:rPr>
                <w:b/>
                <w:sz w:val="14"/>
              </w:rPr>
              <w:t>Matrícula</w:t>
            </w:r>
          </w:p>
        </w:tc>
        <w:tc>
          <w:tcPr>
            <w:tcW w:type="dxa" w:w="1471"/>
            <w:shd w:fill="003B5C"/>
            <w:vAlign w:val="top"/>
          </w:tcPr>
          <w:p>
            <w:pPr>
              <w:jc w:val="center"/>
            </w:pPr>
            <w:r/>
            <w:r>
              <w:rPr>
                <w:b/>
                <w:sz w:val="14"/>
              </w:rPr>
              <w:t>Município</w:t>
            </w:r>
          </w:p>
        </w:tc>
        <w:tc>
          <w:tcPr>
            <w:tcW w:type="dxa" w:w="1471"/>
            <w:shd w:fill="003B5C"/>
            <w:vAlign w:val="top"/>
          </w:tcPr>
          <w:p>
            <w:pPr>
              <w:jc w:val="center"/>
            </w:pPr>
            <w:r/>
            <w:r>
              <w:rPr>
                <w:b/>
                <w:sz w:val="14"/>
              </w:rPr>
              <w:t>Status</w:t>
            </w:r>
          </w:p>
        </w:tc>
        <w:tc>
          <w:tcPr>
            <w:tcW w:type="dxa" w:w="1471"/>
            <w:shd w:fill="003B5C"/>
            <w:vAlign w:val="top"/>
          </w:tcPr>
          <w:p>
            <w:pPr>
              <w:jc w:val="center"/>
            </w:pPr>
            <w:r/>
            <w:r>
              <w:rPr>
                <w:b/>
                <w:sz w:val="14"/>
              </w:rPr>
              <w:t>Área parcela (ha)</w:t>
            </w:r>
          </w:p>
        </w:tc>
        <w:tc>
          <w:tcPr>
            <w:tcW w:type="dxa" w:w="1471"/>
            <w:shd w:fill="003B5C"/>
            <w:vAlign w:val="top"/>
          </w:tcPr>
          <w:p>
            <w:pPr>
              <w:jc w:val="center"/>
            </w:pPr>
            <w:r/>
            <w:r>
              <w:rPr>
                <w:b/>
                <w:sz w:val="14"/>
              </w:rPr>
              <w:t>Sobreposição (ha)</w:t>
            </w:r>
          </w:p>
        </w:tc>
      </w:tr>
      <w:tr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1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SIGEF LOCAL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62e60598- db38- 4536- b209- dceae5c994aa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9021281023934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FAZENDA SÃO JOSÉ II -  Fazenda São José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460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5102686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CERTIFICADA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1.000,0000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900,0000</w:t>
            </w:r>
          </w:p>
        </w:tc>
      </w:tr>
      <w:tr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2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SIGEF LOCAL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0ac1c274- 4ff9- 4226- 822b- 2915d55577f6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9021281026950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FAZENDA SÃO JOSÉ III -  Fazenda São José III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1555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5102686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CERTIFICADA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500,0000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450,0000</w:t>
            </w:r>
          </w:p>
        </w:tc>
      </w:tr>
      <w:tr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3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SIGEF LOCAL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314f1ba7- 70fd- 49fa- a913- 1dcbe3b1bce6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9500178396043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FAZENDA SÃO JOSÉ I -  Fazenda São José I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1554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5102686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CERTIFICADA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386,1161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380,0000</w:t>
            </w:r>
          </w:p>
        </w:tc>
      </w:tr>
      <w:tr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4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FEIÇÃO CONSULTADA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MT- 5102686- 7655D75299FB4F86A3412D33A8039287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MT- 5102686- 7655D75299FB4F86A3412D33A8039287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 xml:space="preserve">- 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 xml:space="preserve">- 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Campos de Júlio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 xml:space="preserve">- 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1.886,1161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1.886,1161</w:t>
            </w:r>
          </w:p>
        </w:tc>
      </w:tr>
      <w:tr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5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SIGEF LOCAL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09106368- 2fc7- 4865- af3d- 375f1cf813d7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9021281022024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FAZENDA BOFF -  Fazenda Boff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2074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5102686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CERTIFICADA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100,0000</w:t>
            </w:r>
          </w:p>
        </w:tc>
        <w:tc>
          <w:tcPr>
            <w:tcW w:type="dxa" w:w="1471"/>
            <w:vAlign w:val="top"/>
          </w:tcPr>
          <w:p>
            <w:r/>
            <w:r>
              <w:rPr>
                <w:b w:val="0"/>
                <w:sz w:val="13"/>
              </w:rPr>
              <w:t>80,0000</w:t>
            </w:r>
          </w:p>
        </w:tc>
      </w:tr>
    </w:tbl>
    <w:p>
      <w:pPr>
        <w:sectPr>
          <w:pgSz w:w="15840" w:h="12240" w:orient="landscape"/>
          <w:pgMar w:top="680" w:right="567" w:bottom="680" w:left="567" w:header="720" w:footer="720" w:gutter="0"/>
          <w:cols w:space="720"/>
          <w:docGrid w:linePitch="360"/>
        </w:sectPr>
      </w:pPr>
    </w:p>
    <w:p>
      <w:r>
        <w:rPr>
          <w:b/>
          <w:sz w:val="24"/>
        </w:rPr>
        <w:t>4. Conclusão técnica preliminar</w:t>
      </w:r>
    </w:p>
    <w:p>
      <w:r>
        <w:rPr>
          <w:sz w:val="20"/>
        </w:rPr>
        <w:t>Após o cruzamento espacial realizado, foram identificadas as sobreposições descritas no quadro acima. Este relatório possui caráter técnico preliminar e deve ser validado com conferência da origem, data de atualização das bases, sistema de referência geodésico e documentação dominial/cadastral do imóvel.</w:t>
      </w:r>
    </w:p>
    <w:p>
      <w:r>
        <w:rPr>
          <w:sz w:val="16"/>
        </w:rPr>
        <w:t>Observação: o cálculo foi realizado em ambiente web com base nas geometrias carregadas no sistema. Para uso cartorial, judicial ou bancário, recomenda-se conferência em ambiente SIG profissional e emissão com assinatura técnica.</w:t>
      </w:r>
    </w:p>
    <w:p/>
    <w:p/>
    <w:p/>
    <w:p/>
    <w:p>
      <w:r>
        <w:t>______________________________________________</w:t>
      </w:r>
      <w:r>
        <w:rPr>
          <w:b/>
        </w:rPr>
        <w:br/>
        <w:t>Alexandre Magno Gomes de Lima</w:t>
      </w:r>
      <w:r>
        <w:br/>
        <w:t>Longitude Assessoria Rural e Urbano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