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b/>
          <w:sz w:val="28"/>
        </w:rPr>
        <w:t>TUDO MINUSCULO</w:t>
      </w:r>
    </w:p>
    <w:p>
      <w:pPr>
        <w:spacing w:line="360" w:lineRule="auto"/>
        <w:jc w:val="both"/>
      </w:pPr>
      <w:r>
        <w:rPr>
          <w:rFonts w:ascii="Arial" w:hAnsi="Arial"/>
          <w:sz w:val="24"/>
        </w:rPr>
        <w:t>Este artigo discute a paradiplomacia não oficial no Brasil, destacando as dificuldades que estados e municípios enfrentam ao se envolverem em relações internacionais. Critica a inércia dos líderes políticos, que temem perder soberania ao descentralizar poderes. Na verdade, essa passividade pode enfraquecer a soberania do Brasil. O texto sugere que é necessário estabelecer regras jurídicas para permitir que entidades subnacionais atuem internacionalmente sem violar a soberania.</w:t>
        <w:br/>
        <w:br/>
        <w:t>O autor observa um aumento nas negociações internacionais entre estados e municípios brasileiros, que muitas vezes não seguem as leis vigentes, já que essas ações são geralmente de competência da União. Apesar da ilegalidade, há pouca adaptação legislativa. A discussão se insere em um contexto mais amplo sobre o federalismo e suas contradições desde a Constituição de 1988, mas o foco principal do artigo é analisar a crescente paradiplomacia e suas implicações para a sociedade e o Estado.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