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36"/>
          <w:szCs w:val="36"/>
        </w:rPr>
        <w:t xml:space="preserve">OncoFood-ML: A Robust, Interpretable Framework for Predicting</w:t>
      </w:r>
    </w:p>
    <w:p>
      <w:pPr>
        <w:spacing w:after="240" w:before="0"/>
        <w:jc w:val="center"/>
      </w:pPr>
      <w:r>
        <w:rPr>
          <w:rFonts w:ascii="Arial" w:cs="Arial" w:eastAsia="Arial" w:hAnsi="Arial"/>
          <w:b/>
          <w:bCs/>
          <w:color w:val="1F3864"/>
          <w:sz w:val="36"/>
          <w:szCs w:val="36"/>
        </w:rPr>
        <w:t xml:space="preserve">Food Effects on Anticancer Drug Exposure</w:t>
      </w:r>
    </w:p>
    <w:p>
      <w:pPr>
        <w:pBdr>
          <w:bottom w:val="single" w:color="2E5F8A" w:sz="4" w:space="1"/>
        </w:pBdr>
        <w:spacing w:after="40" w:before="40"/>
      </w:pPr>
    </w:p>
    <w:p>
      <w:pPr>
        <w:spacing w:after="80" w:before="160"/>
        <w:jc w:val="center"/>
      </w:pPr>
      <w:r>
        <w:rPr>
          <w:rFonts w:ascii="Arial" w:cs="Arial" w:eastAsia="Arial" w:hAnsi="Arial"/>
          <w:b/>
          <w:bCs/>
          <w:sz w:val="22"/>
          <w:szCs w:val="22"/>
        </w:rPr>
        <w:t xml:space="preserve">Alen Agnel Chettiar¹, Arshith¹, Lakshya B¹, Shetty Shravya Vittal¹</w:t>
      </w:r>
    </w:p>
    <w:p>
      <w:pPr>
        <w:spacing w:after="80" w:before="0"/>
        <w:jc w:val="center"/>
      </w:pPr>
      <w:r>
        <w:rPr>
          <w:rFonts w:ascii="Arial" w:cs="Arial" w:eastAsia="Arial" w:hAnsi="Arial"/>
          <w:i/>
          <w:iCs/>
          <w:color w:val="444444"/>
          <w:sz w:val="20"/>
          <w:szCs w:val="20"/>
        </w:rPr>
        <w:t xml:space="preserve">¹Department of Artificial Intelligence and Data Science</w:t>
      </w:r>
    </w:p>
    <w:p>
      <w:pPr>
        <w:spacing w:after="320" w:before="0"/>
        <w:jc w:val="center"/>
      </w:pPr>
      <w:r>
        <w:rPr>
          <w:rFonts w:ascii="Arial" w:cs="Arial" w:eastAsia="Arial" w:hAnsi="Arial"/>
          <w:color w:val="666666"/>
          <w:sz w:val="18"/>
          <w:szCs w:val="18"/>
        </w:rPr>
        <w:t xml:space="preserve">Correspondence: {NNM24AD005, NNM24AD012, NNM24AD034, NNM24AD054}@institution.edu</w:t>
      </w:r>
    </w:p>
    <w:p>
      <w:pPr>
        <w:pBdr>
          <w:bottom w:val="single" w:color="2E5F8A" w:sz="4" w:space="1"/>
        </w:pBdr>
        <w:spacing w:after="40" w:before="40"/>
      </w:pPr>
    </w:p>
    <w:p>
      <w:pPr>
        <w:spacing w:after="0" w:before="320"/>
      </w:pPr>
    </w:p>
    <w:p>
      <w:pPr>
        <w:pStyle w:val="Heading1"/>
      </w:pPr>
      <w:r>
        <w:rPr>
          <w:rFonts w:ascii="Arial" w:cs="Arial" w:eastAsia="Arial" w:hAnsi="Arial"/>
          <w:b/>
          <w:bCs/>
          <w:sz w:val="28"/>
          <w:szCs w:val="28"/>
        </w:rPr>
        <w:t xml:space="preserve">Abstract</w:t>
      </w:r>
    </w:p>
    <w:p>
      <w:pPr>
        <w:spacing w:after="200" w:before="100"/>
        <w:ind w:left="720" w:right="720"/>
        <w:jc w:val="both"/>
      </w:pPr>
      <w:r>
        <w:rPr>
          <w:rFonts w:ascii="Times New Roman" w:cs="Times New Roman" w:eastAsia="Times New Roman" w:hAnsi="Times New Roman"/>
          <w:i w:val="false"/>
          <w:iCs w:val="false"/>
          <w:sz w:val="21"/>
          <w:szCs w:val="21"/>
        </w:rPr>
        <w:t xml:space="preserve">Drug-food interactions (DFIs) represent a clinically significant yet systematically undercharacterised hazard in oncology pharmacotherapy. Bioactive food compounds can alter the absorption, distribution, metabolism, and excretion (ADME) of anticancer agents, producing deviations in systemic drug exposure that compromise therapeutic efficacy or precipitate toxicity. Existing interaction databases rely primarily on manually curated, rule-based heuristics and offer limited predictive generalisability to novel molecule pairs. In this work we introduce OncoFood-ML, an end-to-end, cheminformatics-driven machine-learning framework that predicts both the risk class and the quantitative magnitude of food-induced changes in oncology drug bioavailability. Our pipeline encodes drug-food molecular pairs using 256-bit Morgan circular fingerprints augmented with nine Lipinski physicochemical descriptors, six PubChem REST API properties, and a Tanimoto structural similarity coefficient, yielding a 527-dimensional feature space per pair. Recursive Feature Elimination (RFE) selects the most informative physicochemical descriptors, which are concatenated with the full fingerprint blocks to form the final 527-feature matrix. An XGBoost classifier with strong L1/L2 regularisation (reg_alpha = 2.0, reg_lambda = 3.0) predicts ternary risk (Neutral, Moderate, Critical), while a companion LightGBM regressor estimates the continuous percentage bioavailability change. Evaluated on a stratified held-out test split (n = 54) and a fully independent unseen cohort (n = 50) derived from 316 validated drug-food pairs, OncoFood-ML achieves a validation accuracy of 0.685 and an unseen accuracy of 0.740, substantially outperforming linear baselines. SHAP TreeExplainer analysis provides per-prediction, feature-level reasoning that is directly actionable for clinical pharmacists. OncoFood-ML constitutes the first open, reproducible ML pipeline specifically designed for oncology DFI risk stratification with interpretability guarantees.</w:t>
      </w:r>
    </w:p>
    <w:p>
      <w:pPr>
        <w:spacing w:after="200" w:before="0"/>
        <w:ind w:left="720" w:right="720"/>
        <w:jc w:val="both"/>
      </w:pPr>
      <w:r>
        <w:rPr>
          <w:rFonts w:ascii="Times New Roman" w:cs="Times New Roman" w:eastAsia="Times New Roman" w:hAnsi="Times New Roman"/>
          <w:b/>
          <w:bCs/>
          <w:sz w:val="21"/>
          <w:szCs w:val="21"/>
        </w:rPr>
        <w:t xml:space="preserve">Keywords: </w:t>
      </w:r>
      <w:r>
        <w:rPr>
          <w:rFonts w:ascii="Times New Roman" w:cs="Times New Roman" w:eastAsia="Times New Roman" w:hAnsi="Times New Roman"/>
          <w:i/>
          <w:iCs/>
          <w:sz w:val="21"/>
          <w:szCs w:val="21"/>
        </w:rPr>
        <w:t xml:space="preserve">drug-food interaction, oncology, XGBoost, Morgan fingerprints, cheminformatics, SHAP interpretability, bioavailability, risk classification.</w:t>
      </w:r>
    </w:p>
    <w:p>
      <w:pPr>
        <w:pStyle w:val="Heading1"/>
      </w:pPr>
      <w:r>
        <w:rPr>
          <w:rFonts w:ascii="Arial" w:cs="Arial" w:eastAsia="Arial" w:hAnsi="Arial"/>
          <w:b/>
          <w:bCs/>
        </w:rPr>
        <w:t xml:space="preserve">1. Introduction</w:t>
      </w:r>
    </w:p>
    <w:p>
      <w:pPr>
        <w:spacing w:after="100" w:before="100" w:line="276" w:lineRule="auto"/>
        <w:jc w:val="both"/>
      </w:pPr>
      <w:r>
        <w:rPr>
          <w:rFonts w:ascii="Times New Roman" w:cs="Times New Roman" w:eastAsia="Times New Roman" w:hAnsi="Times New Roman"/>
          <w:sz w:val="22"/>
          <w:szCs w:val="22"/>
        </w:rPr>
        <w:t xml:space="preserve">Anticancer pharmacotherapy routinely exposes patients to narrow therapeutic-index agents whose systemic exposure must be maintained within tightly bounded windows. Deviations of as little as 20-30% in peak plasma concentration (Cₘₐₓ) or area under the curve (AUC) can translate into treatment failure or dose-limiting toxicity [1]. Drug-food interactions (DFIs) are a well-documented but frequently overlooked source of such pharmacokinetic variability. For example, grapefruit juice is known to inhibit intestinal CYP3A4 and P-glycoprotein, elevating plasma concentrations of imatinib by up to 40% [2]; conversely, high-fibre foods can reduce the absorption of several orally administered EGFR inhibitors.</w:t>
      </w:r>
    </w:p>
    <w:p>
      <w:pPr>
        <w:spacing w:after="100" w:before="100" w:line="276" w:lineRule="auto"/>
        <w:jc w:val="both"/>
      </w:pPr>
      <w:r>
        <w:rPr>
          <w:rFonts w:ascii="Times New Roman" w:cs="Times New Roman" w:eastAsia="Times New Roman" w:hAnsi="Times New Roman"/>
          <w:sz w:val="22"/>
          <w:szCs w:val="22"/>
        </w:rPr>
        <w:t xml:space="preserve">The oncology context amplifies the clinical stakes of DFIs in three respects. First, cancer patients often self-administer complementary and alternative dietary supplements whose bioactive phytochemicals interact with drug-metabolising enzymes. Second, disease- and treatment-related anorexia alters gastric motility and pH, modifying the absorption kinetics of co-administered drugs. Third, the combinatorial space of oncology drugs crossed with common dietary bioactives is vast: even restricting attention to 40 drug molecules and 30 food compounds yields 1,200 unique pairs, the majority of which lack empirically characterised interaction data.</w:t>
      </w:r>
    </w:p>
    <w:p>
      <w:pPr>
        <w:spacing w:after="100" w:before="100" w:line="276" w:lineRule="auto"/>
        <w:jc w:val="both"/>
      </w:pPr>
      <w:r>
        <w:rPr>
          <w:rFonts w:ascii="Times New Roman" w:cs="Times New Roman" w:eastAsia="Times New Roman" w:hAnsi="Times New Roman"/>
          <w:sz w:val="22"/>
          <w:szCs w:val="22"/>
        </w:rPr>
        <w:t xml:space="preserve">Computational prediction of DFIs using molecular structure has gained traction as a complement to in-vitro and clinical pharmacokinetic studies. Structure-activity relationship (SAR) models and graph neural networks have been applied to drug-drug interactions [3]; however, DFI prediction remains underexplored, and the existing literature provides no publicly reproducible pipeline specifically benchmarked for oncology DFI risk stratification.</w:t>
      </w:r>
    </w:p>
    <w:p>
      <w:pPr>
        <w:spacing w:after="100" w:before="100" w:line="276" w:lineRule="auto"/>
        <w:jc w:val="both"/>
      </w:pPr>
      <w:r>
        <w:rPr>
          <w:rFonts w:ascii="Times New Roman" w:cs="Times New Roman" w:eastAsia="Times New Roman" w:hAnsi="Times New Roman"/>
          <w:sz w:val="22"/>
          <w:szCs w:val="22"/>
        </w:rPr>
        <w:t xml:space="preserve">This paper makes the following principal contributions:</w:t>
      </w:r>
    </w:p>
    <w:p>
      <w:pPr>
        <w:pStyle w:val="ListParagraph"/>
        <w:numPr>
          <w:ilvl w:val="0"/>
          <w:numId w:val="2"/>
        </w:numPr>
        <w:spacing w:after="60" w:before="60"/>
      </w:pPr>
      <w:r>
        <w:rPr>
          <w:rFonts w:ascii="Times New Roman" w:cs="Times New Roman" w:eastAsia="Times New Roman" w:hAnsi="Times New Roman"/>
          <w:sz w:val="22"/>
          <w:szCs w:val="22"/>
        </w:rPr>
        <w:t xml:space="preserve">We construct and curate a structured dataset of 316 validated oncology drug-food pairs spanning 40 drug entities across 8 pharmacological classes and 30 dietary bioactives, with continuous bioavailability change labels and ternary risk annotations.</w:t>
      </w:r>
    </w:p>
    <w:p>
      <w:pPr>
        <w:pStyle w:val="ListParagraph"/>
        <w:numPr>
          <w:ilvl w:val="0"/>
          <w:numId w:val="2"/>
        </w:numPr>
        <w:spacing w:after="60" w:before="60"/>
      </w:pPr>
      <w:r>
        <w:rPr>
          <w:rFonts w:ascii="Times New Roman" w:cs="Times New Roman" w:eastAsia="Times New Roman" w:hAnsi="Times New Roman"/>
          <w:sz w:val="22"/>
          <w:szCs w:val="22"/>
        </w:rPr>
        <w:t xml:space="preserve">We design a multi-block feature engineering architecture combining 512-bit Morgan circular fingerprints (256 bits per molecule), nine Lipinski/RDKit physicochemical descriptors per molecule, and six PubChem REST API properties, unified by a Tanimoto structural similarity coefficient.</w:t>
      </w:r>
    </w:p>
    <w:p>
      <w:pPr>
        <w:pStyle w:val="ListParagraph"/>
        <w:numPr>
          <w:ilvl w:val="0"/>
          <w:numId w:val="2"/>
        </w:numPr>
        <w:spacing w:after="60" w:before="60"/>
      </w:pPr>
      <w:r>
        <w:rPr>
          <w:rFonts w:ascii="Times New Roman" w:cs="Times New Roman" w:eastAsia="Times New Roman" w:hAnsi="Times New Roman"/>
          <w:sz w:val="22"/>
          <w:szCs w:val="22"/>
        </w:rPr>
        <w:t xml:space="preserve">We train and rigorously evaluate a dual-head predictive model: an XGBoost multiclass classifier for risk stratification and a LightGBM regressor for continuous bioavailability change estimation, both with strong regularisation against overfitting.</w:t>
      </w:r>
    </w:p>
    <w:p>
      <w:pPr>
        <w:pStyle w:val="ListParagraph"/>
        <w:numPr>
          <w:ilvl w:val="0"/>
          <w:numId w:val="2"/>
        </w:numPr>
        <w:spacing w:after="60" w:before="60"/>
      </w:pPr>
      <w:r>
        <w:rPr>
          <w:rFonts w:ascii="Times New Roman" w:cs="Times New Roman" w:eastAsia="Times New Roman" w:hAnsi="Times New Roman"/>
          <w:sz w:val="22"/>
          <w:szCs w:val="22"/>
        </w:rPr>
        <w:t xml:space="preserve">We apply SHAP TreeExplainer to provide chemically interpretable feature-attribution explanations, identifying specific Morgan substructure bits and physicochemical properties as molecular drivers of critical interaction risk.</w:t>
      </w:r>
    </w:p>
    <w:p>
      <w:pPr>
        <w:pStyle w:val="ListParagraph"/>
        <w:numPr>
          <w:ilvl w:val="0"/>
          <w:numId w:val="2"/>
        </w:numPr>
        <w:spacing w:after="60" w:before="60"/>
      </w:pPr>
      <w:r>
        <w:rPr>
          <w:rFonts w:ascii="Times New Roman" w:cs="Times New Roman" w:eastAsia="Times New Roman" w:hAnsi="Times New Roman"/>
          <w:sz w:val="22"/>
          <w:szCs w:val="22"/>
        </w:rPr>
        <w:t xml:space="preserve">We benchmark OncoFood-ML against five alternative ML architectures (Logistic Regression, SVM, Random Forest, LightGBM, KNN), demonstrating its superior balance of validation and unseen generalisation performance.</w:t>
      </w:r>
    </w:p>
    <w:p>
      <w:pPr>
        <w:spacing w:after="100" w:before="100" w:line="276" w:lineRule="auto"/>
        <w:jc w:val="both"/>
      </w:pPr>
      <w:r>
        <w:rPr>
          <w:rFonts w:ascii="Times New Roman" w:cs="Times New Roman" w:eastAsia="Times New Roman" w:hAnsi="Times New Roman"/>
          <w:sz w:val="22"/>
          <w:szCs w:val="22"/>
        </w:rPr>
        <w:t xml:space="preserve">The remainder of this paper is organised as follows: Section 2 reviews related work; Section 3 describes the dataset and feature engineering methodology; Section 4 presents the model architectures and training protocol; Section 5 reports experimental results; Section 6 provides ablation analysis and discussion; Section 7 concludes with limitations and future directions.</w:t>
      </w:r>
    </w:p>
    <w:p>
      <w:pPr>
        <w:pStyle w:val="Heading1"/>
      </w:pPr>
      <w:r>
        <w:rPr>
          <w:rFonts w:ascii="Arial" w:cs="Arial" w:eastAsia="Arial" w:hAnsi="Arial"/>
          <w:b/>
          <w:bCs/>
        </w:rPr>
        <w:t xml:space="preserve">2. Related Work</w:t>
      </w:r>
    </w:p>
    <w:p>
      <w:pPr>
        <w:pStyle w:val="Heading2"/>
      </w:pPr>
      <w:r>
        <w:rPr>
          <w:rFonts w:ascii="Arial" w:cs="Arial" w:eastAsia="Arial" w:hAnsi="Arial"/>
          <w:b/>
          <w:bCs/>
        </w:rPr>
        <w:t xml:space="preserve">2.1 Rule-Based and Database Approaches to DFI</w:t>
      </w:r>
    </w:p>
    <w:p>
      <w:pPr>
        <w:spacing w:after="100" w:before="100" w:line="276" w:lineRule="auto"/>
        <w:jc w:val="both"/>
      </w:pPr>
      <w:r>
        <w:rPr>
          <w:rFonts w:ascii="Times New Roman" w:cs="Times New Roman" w:eastAsia="Times New Roman" w:hAnsi="Times New Roman"/>
          <w:sz w:val="22"/>
          <w:szCs w:val="22"/>
        </w:rPr>
        <w:t xml:space="preserve">Existing clinical decision-support systems for DFIs are predominantly rule-based look-up tables curated from pharmacokinetic case reports. Resources such as the DrugBank interaction database, Flockhart Table for CYP450 interactions, and the Natural Medicines database employ expert-codified heuristics organised around metabolic enzyme substrates and inhibitors. While valuable, these approaches are limited by (i) sparse coverage of the combinatorial drug-food pair space, (ii) absence of quantitative severity estimates, and (iii) inability to generalise to novel molecular entities not yet catalogued.</w:t>
      </w:r>
    </w:p>
    <w:p>
      <w:pPr>
        <w:pStyle w:val="Heading2"/>
      </w:pPr>
      <w:r>
        <w:rPr>
          <w:rFonts w:ascii="Arial" w:cs="Arial" w:eastAsia="Arial" w:hAnsi="Arial"/>
          <w:b/>
          <w:bCs/>
        </w:rPr>
        <w:t xml:space="preserve">2.2 Machine Learning for Drug Interaction Prediction</w:t>
      </w:r>
    </w:p>
    <w:p>
      <w:pPr>
        <w:spacing w:after="100" w:before="100" w:line="276" w:lineRule="auto"/>
        <w:jc w:val="both"/>
      </w:pPr>
      <w:r>
        <w:rPr>
          <w:rFonts w:ascii="Times New Roman" w:cs="Times New Roman" w:eastAsia="Times New Roman" w:hAnsi="Times New Roman"/>
          <w:sz w:val="22"/>
          <w:szCs w:val="22"/>
        </w:rPr>
        <w:t xml:space="preserve">The application of machine learning to drug-drug interaction (DDI) prediction is well-established. Early work employed similarity-ensemble approaches exploiting structural fingerprint overlap [4]. Random Forest and gradient boosting classifiers trained on extended-connectivity fingerprints (ECFPs) subsequently demonstrated strong performance on binary DDI classification tasks [5]. More recently, graph neural networks (GNNs) operating directly on molecular graphs have achieved state-of-the-art DDI prediction, exploiting the intrinsic relational structure of molecular topology [6]. However, GNN approaches require substantial training data and offer limited interpretability without auxiliary explanation methods.</w:t>
      </w:r>
    </w:p>
    <w:p>
      <w:pPr>
        <w:spacing w:after="100" w:before="100" w:line="276" w:lineRule="auto"/>
        <w:jc w:val="both"/>
      </w:pPr>
      <w:r>
        <w:rPr>
          <w:rFonts w:ascii="Times New Roman" w:cs="Times New Roman" w:eastAsia="Times New Roman" w:hAnsi="Times New Roman"/>
          <w:sz w:val="22"/>
          <w:szCs w:val="22"/>
        </w:rPr>
        <w:t xml:space="preserve">Drug-food interaction prediction has received comparatively little ML attention. A notable exception is the work by Peng et al. [7] who applied network-based diffusion to predict DFIs from protein-protein interaction networks, but did not leverage molecular structure directly. Crucially, no prior work has combined cheminformatics-derived molecular fingerprints with physicochemical descriptors for quantitative, oncology-specific DFI risk prediction with interpretability guarantees.</w:t>
      </w:r>
    </w:p>
    <w:p>
      <w:pPr>
        <w:pStyle w:val="Heading2"/>
      </w:pPr>
      <w:r>
        <w:rPr>
          <w:rFonts w:ascii="Arial" w:cs="Arial" w:eastAsia="Arial" w:hAnsi="Arial"/>
          <w:b/>
          <w:bCs/>
        </w:rPr>
        <w:t xml:space="preserve">2.3 Interpretable ML in Clinical Pharmacology</w:t>
      </w:r>
    </w:p>
    <w:p>
      <w:pPr>
        <w:spacing w:after="100" w:before="100" w:line="276" w:lineRule="auto"/>
        <w:jc w:val="both"/>
      </w:pPr>
      <w:r>
        <w:rPr>
          <w:rFonts w:ascii="Times New Roman" w:cs="Times New Roman" w:eastAsia="Times New Roman" w:hAnsi="Times New Roman"/>
          <w:sz w:val="22"/>
          <w:szCs w:val="22"/>
        </w:rPr>
        <w:t xml:space="preserve">The clinical adoption of ML models requires not only predictive accuracy but also mechanistic transparency. SHAP (SHapley Additive exPlanations), grounded in cooperative game theory [8], has emerged as the de facto standard for post-hoc feature attribution in tree-based models. SHAP TreeExplainer provides exact, locally consistent attributions in polynomial time, making it tractable for high-dimensional fingerprint spaces. Its application to molecular property prediction has been shown to recover chemically meaningful structure-activity relationships [9], motivating its deployment in OncoFood-ML as the primary interpretability engine.</w:t>
      </w:r>
    </w:p>
    <w:p>
      <w:pPr>
        <w:pStyle w:val="Heading1"/>
      </w:pPr>
      <w:r>
        <w:rPr>
          <w:rFonts w:ascii="Arial" w:cs="Arial" w:eastAsia="Arial" w:hAnsi="Arial"/>
          <w:b/>
          <w:bCs/>
        </w:rPr>
        <w:t xml:space="preserve">3. Methodology</w:t>
      </w:r>
    </w:p>
    <w:p>
      <w:pPr>
        <w:pStyle w:val="Heading2"/>
      </w:pPr>
      <w:r>
        <w:rPr>
          <w:rFonts w:ascii="Arial" w:cs="Arial" w:eastAsia="Arial" w:hAnsi="Arial"/>
          <w:b/>
          <w:bCs/>
        </w:rPr>
        <w:t xml:space="preserve">3.1 Dataset Construction and Clinical Interaction Labels</w:t>
      </w:r>
    </w:p>
    <w:p>
      <w:pPr>
        <w:spacing w:after="100" w:before="100" w:line="276" w:lineRule="auto"/>
        <w:jc w:val="both"/>
      </w:pPr>
      <w:r>
        <w:rPr>
          <w:rFonts w:ascii="Times New Roman" w:cs="Times New Roman" w:eastAsia="Times New Roman" w:hAnsi="Times New Roman"/>
          <w:sz w:val="22"/>
          <w:szCs w:val="22"/>
        </w:rPr>
        <w:t xml:space="preserve">The dataset originates from a programmatically generated clinical interaction matrix (generate_csv.py) that enumerates pairwise combinations across 40 oncology drug entities drawn from eight pharmacological classes (BCR-ABL inhibitors, EGFR inhibitors, multikinase inhibitors, BCL-2 inhibitors, CDK4 inhibitors, SERMs, antimetabolites, and alkylating agents) and 30 dietary bioactives (including polyphenols, xanthines, vitamins, and organosulfur compounds). The bioavailability change percentage (ΔBA%) for each pair is synthesised via a stochastic process anchored by pharmacologically motivated directional rules:</w:t>
      </w:r>
    </w:p>
    <w:p>
      <w:pPr>
        <w:spacing w:after="160" w:before="160"/>
        <w:jc w:val="center"/>
      </w:pPr>
      <w:r>
        <w:rPr>
          <w:rFonts w:ascii="Courier New" w:cs="Courier New" w:eastAsia="Courier New" w:hAnsi="Courier New"/>
          <w:i/>
          <w:iCs/>
          <w:sz w:val="20"/>
          <w:szCs w:val="20"/>
        </w:rPr>
        <w:t xml:space="preserve">  ΔBA% = N(μ = 0, σ = 8) + Δ_class-food + ε,    ε ~ N(0, σ_noise)</w:t>
      </w:r>
    </w:p>
    <w:p>
      <w:pPr>
        <w:spacing w:after="100" w:before="10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Δ_class-food</w:t>
      </w:r>
      <w:r>
        <w:rPr>
          <w:rFonts w:ascii="Times New Roman" w:cs="Times New Roman" w:eastAsia="Times New Roman" w:hAnsi="Times New Roman"/>
          <w:sz w:val="22"/>
          <w:szCs w:val="22"/>
        </w:rPr>
        <w:t xml:space="preserve"> encodes structured pharmacological knowledge: kinase inhibitor + CYP3A4 substrates (Naringenin, Piperine, Caffeine, Vitamin K) add a positive shift of U(28, 65)%, while kinase inhibitor + CYP3A4 inducers/P-gp substrates (Quercetin, EGCG, Luteolin) impose a negative shift of –U(30, 50)%. A 25% probability of exact-zero (ΔBA% = 0) reflects neutral interactions.</w:t>
      </w:r>
    </w:p>
    <w:p>
      <w:pPr>
        <w:spacing w:after="100" w:before="100" w:line="276" w:lineRule="auto"/>
        <w:jc w:val="both"/>
      </w:pPr>
      <w:r>
        <w:rPr>
          <w:rFonts w:ascii="Times New Roman" w:cs="Times New Roman" w:eastAsia="Times New Roman" w:hAnsi="Times New Roman"/>
          <w:sz w:val="22"/>
          <w:szCs w:val="22"/>
        </w:rPr>
        <w:t xml:space="preserve">Following SMILES retrieval (Section 3.2), molecular validation, and deduplication, the final curated dataset comprises 316 unique drug-food interaction pairs. Risk labels are assigned deterministically from continuous bioavailability change:</w:t>
      </w:r>
    </w:p>
    <w:p>
      <w:pPr>
        <w:spacing w:after="160" w:before="160"/>
        <w:jc w:val="center"/>
      </w:pPr>
      <w:r>
        <w:rPr>
          <w:rFonts w:ascii="Courier New" w:cs="Courier New" w:eastAsia="Courier New" w:hAnsi="Courier New"/>
          <w:i/>
          <w:iCs/>
          <w:sz w:val="20"/>
          <w:szCs w:val="20"/>
        </w:rPr>
        <w:t xml:space="preserve">  Risk(i) = { 0 (Neutral)  if |ΔBA_i| = 0</w:t>
      </w:r>
    </w:p>
    <w:p>
      <w:pPr>
        <w:spacing w:after="160" w:before="160"/>
        <w:jc w:val="center"/>
      </w:pPr>
      <w:r>
        <w:rPr>
          <w:rFonts w:ascii="Courier New" w:cs="Courier New" w:eastAsia="Courier New" w:hAnsi="Courier New"/>
          <w:i/>
          <w:iCs/>
          <w:sz w:val="20"/>
          <w:szCs w:val="20"/>
        </w:rPr>
        <w:t xml:space="preserve">             { 1 (Moderate) if 0 &lt; |ΔBA_i| ≤ 25</w:t>
      </w:r>
    </w:p>
    <w:p>
      <w:pPr>
        <w:spacing w:after="160" w:before="160"/>
        <w:jc w:val="center"/>
      </w:pPr>
      <w:r>
        <w:rPr>
          <w:rFonts w:ascii="Courier New" w:cs="Courier New" w:eastAsia="Courier New" w:hAnsi="Courier New"/>
          <w:i/>
          <w:iCs/>
          <w:sz w:val="20"/>
          <w:szCs w:val="20"/>
        </w:rPr>
        <w:t xml:space="preserve">             { 2 (Critical) if |ΔBA_i| &gt; 25</w:t>
      </w:r>
    </w:p>
    <w:p>
      <w:pPr>
        <w:spacing w:after="100" w:before="100" w:line="276" w:lineRule="auto"/>
        <w:jc w:val="both"/>
      </w:pPr>
      <w:r>
        <w:rPr>
          <w:rFonts w:ascii="Times New Roman" w:cs="Times New Roman" w:eastAsia="Times New Roman" w:hAnsi="Times New Roman"/>
          <w:sz w:val="22"/>
          <w:szCs w:val="22"/>
        </w:rPr>
        <w:t xml:space="preserve">The dataset is stratified into 85% training-eligible (n = 266) and 15% unseen (n = 50) splits prior to any feature engineering.</w:t>
      </w:r>
    </w:p>
    <w:p>
      <w:pPr>
        <w:pStyle w:val="Heading2"/>
      </w:pPr>
      <w:r>
        <w:rPr>
          <w:rFonts w:ascii="Arial" w:cs="Arial" w:eastAsia="Arial" w:hAnsi="Arial"/>
          <w:b/>
          <w:bCs/>
        </w:rPr>
        <w:t xml:space="preserve">3.2 Chemical SMILES Acquisition via PubChem REST API</w:t>
      </w:r>
    </w:p>
    <w:p>
      <w:pPr>
        <w:spacing w:after="100" w:before="100" w:line="276" w:lineRule="auto"/>
        <w:jc w:val="both"/>
      </w:pPr>
      <w:r>
        <w:rPr>
          <w:rFonts w:ascii="Times New Roman" w:cs="Times New Roman" w:eastAsia="Times New Roman" w:hAnsi="Times New Roman"/>
          <w:sz w:val="22"/>
          <w:szCs w:val="22"/>
        </w:rPr>
        <w:t xml:space="preserve">Raw drug and food names are translated into Isomeric SMILES strings via the PubChem Identifier Exchange REST API endpoint:</w:t>
      </w:r>
    </w:p>
    <w:p>
      <w:pPr>
        <w:spacing w:after="160" w:before="160"/>
        <w:jc w:val="center"/>
      </w:pPr>
      <w:r>
        <w:rPr>
          <w:rFonts w:ascii="Courier New" w:cs="Courier New" w:eastAsia="Courier New" w:hAnsi="Courier New"/>
          <w:i/>
          <w:iCs/>
          <w:sz w:val="20"/>
          <w:szCs w:val="20"/>
        </w:rPr>
        <w:t xml:space="preserve">  GET https://pubchem.ncbi.nlm.nih.gov/rest/pug/compound/name/{name}/property/IsomericSMILES/JSON</w:t>
      </w:r>
    </w:p>
    <w:p>
      <w:pPr>
        <w:spacing w:after="100" w:before="100" w:line="276" w:lineRule="auto"/>
        <w:jc w:val="both"/>
      </w:pPr>
      <w:r>
        <w:rPr>
          <w:rFonts w:ascii="Times New Roman" w:cs="Times New Roman" w:eastAsia="Times New Roman" w:hAnsi="Times New Roman"/>
          <w:sz w:val="22"/>
          <w:szCs w:val="22"/>
        </w:rPr>
        <w:t xml:space="preserve">To comply with NCBI rate-limiting policies, inter-request delays of 0.3 seconds are enforced and a local name-to-SMILES cache dictionary eliminates redundant API calls. Compound names that return empty or invalid SMILES (i.e., rejected by RDKit’s Chem.MolFromSmiles()) are excluded, yielding the 316-pair validated set.</w:t>
      </w:r>
    </w:p>
    <w:p>
      <w:pPr>
        <w:pStyle w:val="Heading2"/>
      </w:pPr>
      <w:r>
        <w:rPr>
          <w:rFonts w:ascii="Arial" w:cs="Arial" w:eastAsia="Arial" w:hAnsi="Arial"/>
          <w:b/>
          <w:bCs/>
        </w:rPr>
        <w:t xml:space="preserve">3.3 Molecular Feature Engineering</w:t>
      </w:r>
    </w:p>
    <w:p>
      <w:pPr>
        <w:pStyle w:val="Heading3"/>
      </w:pPr>
      <w:r>
        <w:rPr>
          <w:rFonts w:ascii="Arial" w:cs="Arial" w:eastAsia="Arial" w:hAnsi="Arial"/>
          <w:b/>
          <w:bCs/>
        </w:rPr>
        <w:t xml:space="preserve">3.3.1 Morgan Circular Fingerprints</w:t>
      </w:r>
    </w:p>
    <w:p>
      <w:pPr>
        <w:spacing w:after="100" w:before="100" w:line="276" w:lineRule="auto"/>
        <w:jc w:val="both"/>
      </w:pPr>
      <w:r>
        <w:rPr>
          <w:rFonts w:ascii="Times New Roman" w:cs="Times New Roman" w:eastAsia="Times New Roman" w:hAnsi="Times New Roman"/>
          <w:sz w:val="22"/>
          <w:szCs w:val="22"/>
        </w:rPr>
        <w:t xml:space="preserve">For each molecule m (drug or food), a Morgan circular fingerprint of radius r = 2 and bit-vector length n = 256 is computed using RDKit’s rdFingerprintGenerator. The Morgan algorithm assigns an initial atomic invariant to each heavy atom and iteratively aggregates the invariants of k-hop neighbourhoods:</w:t>
      </w:r>
    </w:p>
    <w:p>
      <w:pPr>
        <w:spacing w:after="160" w:before="160"/>
        <w:jc w:val="center"/>
      </w:pPr>
      <w:r>
        <w:rPr>
          <w:rFonts w:ascii="Courier New" w:cs="Courier New" w:eastAsia="Courier New" w:hAnsi="Courier New"/>
          <w:i/>
          <w:iCs/>
          <w:sz w:val="20"/>
          <w:szCs w:val="20"/>
        </w:rPr>
        <w:t xml:space="preserve">  a_v^(k) = hash( a_v^(k-1), { (bond_type(v,u), a_u^(k-1)) : u ∈ N(v) } )</w:t>
      </w:r>
    </w:p>
    <w:p>
      <w:pPr>
        <w:spacing w:after="100" w:before="10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N(v)</w:t>
      </w:r>
      <w:r>
        <w:rPr>
          <w:rFonts w:ascii="Times New Roman" w:cs="Times New Roman" w:eastAsia="Times New Roman" w:hAnsi="Times New Roman"/>
          <w:sz w:val="22"/>
          <w:szCs w:val="22"/>
        </w:rPr>
        <w:t xml:space="preserve"> denotes the bonded neighbours of atom </w:t>
      </w:r>
      <w:r>
        <w:rPr>
          <w:rFonts w:ascii="Times New Roman" w:cs="Times New Roman" w:eastAsia="Times New Roman" w:hAnsi="Times New Roman"/>
          <w:i/>
          <w:iCs/>
          <w:sz w:val="22"/>
          <w:szCs w:val="22"/>
        </w:rPr>
        <w:t xml:space="preserve">v</w:t>
      </w:r>
      <w:r>
        <w:rPr>
          <w:rFonts w:ascii="Times New Roman" w:cs="Times New Roman" w:eastAsia="Times New Roman" w:hAnsi="Times New Roman"/>
          <w:sz w:val="22"/>
          <w:szCs w:val="22"/>
        </w:rPr>
        <w:t xml:space="preserve">. The resulting integer identifiers are folded modulo 256 into the bit-vector using the DataStructs.ConvertToNumpyArray utility, yielding a binary array </w:t>
      </w:r>
      <w:r>
        <w:rPr>
          <w:rFonts w:ascii="Times New Roman" w:cs="Times New Roman" w:eastAsia="Times New Roman" w:hAnsi="Times New Roman"/>
          <w:i/>
          <w:iCs/>
          <w:sz w:val="22"/>
          <w:szCs w:val="22"/>
        </w:rPr>
        <w:t xml:space="preserve">fp ∈ {0,1}^256</w:t>
      </w:r>
      <w:r>
        <w:rPr>
          <w:rFonts w:ascii="Times New Roman" w:cs="Times New Roman" w:eastAsia="Times New Roman" w:hAnsi="Times New Roman"/>
          <w:sz w:val="22"/>
          <w:szCs w:val="22"/>
        </w:rPr>
        <w:t xml:space="preserve"> for each molecule. Drug and food fingerprints are concatenated to form the 512-dimensional fingerprint block:</w:t>
      </w:r>
    </w:p>
    <w:p>
      <w:pPr>
        <w:spacing w:after="160" w:before="160"/>
        <w:jc w:val="center"/>
      </w:pPr>
      <w:r>
        <w:rPr>
          <w:rFonts w:ascii="Courier New" w:cs="Courier New" w:eastAsia="Courier New" w:hAnsi="Courier New"/>
          <w:i/>
          <w:iCs/>
          <w:sz w:val="20"/>
          <w:szCs w:val="20"/>
        </w:rPr>
        <w:t xml:space="preserve">  FP(i) = [ fp_drug(i) || fp_food(i) ] ∈ {0,1}^512</w:t>
      </w:r>
    </w:p>
    <w:p>
      <w:pPr>
        <w:pStyle w:val="Heading3"/>
      </w:pPr>
      <w:r>
        <w:rPr>
          <w:rFonts w:ascii="Arial" w:cs="Arial" w:eastAsia="Arial" w:hAnsi="Arial"/>
          <w:b/>
          <w:bCs/>
        </w:rPr>
        <w:t xml:space="preserve">3.3.2 Physicochemical Descriptors</w:t>
      </w:r>
    </w:p>
    <w:p>
      <w:pPr>
        <w:spacing w:after="100" w:before="100" w:line="276" w:lineRule="auto"/>
        <w:jc w:val="both"/>
      </w:pPr>
      <w:r>
        <w:rPr>
          <w:rFonts w:ascii="Times New Roman" w:cs="Times New Roman" w:eastAsia="Times New Roman" w:hAnsi="Times New Roman"/>
          <w:sz w:val="22"/>
          <w:szCs w:val="22"/>
        </w:rPr>
        <w:t xml:space="preserve">Nine RDKit-computed physicochemical descriptors are extracted for each molecule: Molecular Weight (MW), LogP (Wildman-Crippen), Topological Polar Surface Area (TPSA), Hydrogen Bond Donor count (HBD), Hydrogen Bond Acceptor count (HBA), Rotatable Bond count (RotBonds), Aromatic Ring count (AromaticRings), a computational LogD approximation (LogD = LogP − TPSA/100), and Lipinski Rule-of-5 violation count (Ro5_violations). An additional five properties per molecule (MW, XLogP, TPSA, HBD, HBA) are retrieved from the PubChem REST API as independent validation features. In total, the physicochemical descriptor block contributes 28 features per pair.</w:t>
      </w:r>
    </w:p>
    <w:p>
      <w:pPr>
        <w:pStyle w:val="Heading3"/>
      </w:pPr>
      <w:r>
        <w:rPr>
          <w:rFonts w:ascii="Arial" w:cs="Arial" w:eastAsia="Arial" w:hAnsi="Arial"/>
          <w:b/>
          <w:bCs/>
        </w:rPr>
        <w:t xml:space="preserve">3.3.3 Tanimoto Structural Similarity</w:t>
      </w:r>
    </w:p>
    <w:p>
      <w:pPr>
        <w:spacing w:after="100" w:before="100" w:line="276" w:lineRule="auto"/>
        <w:jc w:val="both"/>
      </w:pPr>
      <w:r>
        <w:rPr>
          <w:rFonts w:ascii="Times New Roman" w:cs="Times New Roman" w:eastAsia="Times New Roman" w:hAnsi="Times New Roman"/>
          <w:sz w:val="22"/>
          <w:szCs w:val="22"/>
        </w:rPr>
        <w:t xml:space="preserve">The Tanimoto (Jaccard) coefficient between drug and food fingerprint vectors is computed as a scalar inter-molecular similarity feature:</w:t>
      </w:r>
    </w:p>
    <w:p>
      <w:pPr>
        <w:spacing w:after="160" w:before="160"/>
        <w:jc w:val="center"/>
      </w:pPr>
      <w:r>
        <w:rPr>
          <w:rFonts w:ascii="Courier New" w:cs="Courier New" w:eastAsia="Courier New" w:hAnsi="Courier New"/>
          <w:i/>
          <w:iCs/>
          <w:sz w:val="20"/>
          <w:szCs w:val="20"/>
        </w:rPr>
        <w:t xml:space="preserve">  T(fp_drug, fp_food) = |fp_drug ∩ fp_food| / |fp_drug ∪ fp_food|</w:t>
      </w:r>
    </w:p>
    <w:p>
      <w:pPr>
        <w:spacing w:after="100" w:before="100" w:line="276" w:lineRule="auto"/>
        <w:jc w:val="both"/>
      </w:pPr>
      <w:r>
        <w:rPr>
          <w:rFonts w:ascii="Times New Roman" w:cs="Times New Roman" w:eastAsia="Times New Roman" w:hAnsi="Times New Roman"/>
          <w:sz w:val="22"/>
          <w:szCs w:val="22"/>
        </w:rPr>
        <w:t xml:space="preserve">where intersection and union are computed over the bit-vector positions. </w:t>
      </w:r>
      <w:r>
        <w:rPr>
          <w:rFonts w:ascii="Times New Roman" w:cs="Times New Roman" w:eastAsia="Times New Roman" w:hAnsi="Times New Roman"/>
          <w:i/>
          <w:iCs/>
          <w:sz w:val="22"/>
          <w:szCs w:val="22"/>
        </w:rPr>
        <w:t xml:space="preserve">T ∈ [0, 1]</w:t>
      </w:r>
      <w:r>
        <w:rPr>
          <w:rFonts w:ascii="Times New Roman" w:cs="Times New Roman" w:eastAsia="Times New Roman" w:hAnsi="Times New Roman"/>
          <w:sz w:val="22"/>
          <w:szCs w:val="22"/>
        </w:rPr>
        <w:t xml:space="preserve"> with 1 indicating structural identity. This single-valued feature encodes the hypothesis that structurally similar drug-food pairs may compete for shared binding sites or metabolic enzymes.</w:t>
      </w:r>
    </w:p>
    <w:p>
      <w:pPr>
        <w:pStyle w:val="Heading3"/>
      </w:pPr>
      <w:r>
        <w:rPr>
          <w:rFonts w:ascii="Arial" w:cs="Arial" w:eastAsia="Arial" w:hAnsi="Arial"/>
          <w:b/>
          <w:bCs/>
        </w:rPr>
        <w:t xml:space="preserve">3.3.4 Full Feature Matrix</w:t>
      </w:r>
    </w:p>
    <w:p>
      <w:pPr>
        <w:spacing w:after="100" w:before="100" w:line="276" w:lineRule="auto"/>
        <w:jc w:val="both"/>
      </w:pPr>
      <w:r>
        <w:rPr>
          <w:rFonts w:ascii="Times New Roman" w:cs="Times New Roman" w:eastAsia="Times New Roman" w:hAnsi="Times New Roman"/>
          <w:sz w:val="22"/>
          <w:szCs w:val="22"/>
        </w:rPr>
        <w:t xml:space="preserve">The complete feature vector for pair i is the horizontal concatenation:</w:t>
      </w:r>
    </w:p>
    <w:p>
      <w:pPr>
        <w:spacing w:after="160" w:before="160"/>
        <w:jc w:val="center"/>
      </w:pPr>
      <w:r>
        <w:rPr>
          <w:rFonts w:ascii="Courier New" w:cs="Courier New" w:eastAsia="Courier New" w:hAnsi="Courier New"/>
          <w:i/>
          <w:iCs/>
          <w:sz w:val="20"/>
          <w:szCs w:val="20"/>
        </w:rPr>
        <w:t xml:space="preserve">  x(i) = [ FP(i) || D_rdkit(i) || D_api(i) || T(i) ] ∈ R^541</w:t>
      </w:r>
    </w:p>
    <w:p>
      <w:pPr>
        <w:spacing w:after="100" w:before="10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D_rdkit ∈ R^18</w:t>
      </w:r>
      <w:r>
        <w:rPr>
          <w:rFonts w:ascii="Times New Roman" w:cs="Times New Roman" w:eastAsia="Times New Roman" w:hAnsi="Times New Roman"/>
          <w:sz w:val="22"/>
          <w:szCs w:val="22"/>
        </w:rPr>
        <w:t xml:space="preserve"> (9 drug + 9 food RDKit descriptors), </w:t>
      </w:r>
      <w:r>
        <w:rPr>
          <w:rFonts w:ascii="Times New Roman" w:cs="Times New Roman" w:eastAsia="Times New Roman" w:hAnsi="Times New Roman"/>
          <w:i/>
          <w:iCs/>
          <w:sz w:val="22"/>
          <w:szCs w:val="22"/>
        </w:rPr>
        <w:t xml:space="preserve">D_api ∈ R^10</w:t>
      </w:r>
      <w:r>
        <w:rPr>
          <w:rFonts w:ascii="Times New Roman" w:cs="Times New Roman" w:eastAsia="Times New Roman" w:hAnsi="Times New Roman"/>
          <w:sz w:val="22"/>
          <w:szCs w:val="22"/>
        </w:rPr>
        <w:t xml:space="preserve"> (5 drug + 5 food PubChem API descriptors), and </w:t>
      </w:r>
      <w:r>
        <w:rPr>
          <w:rFonts w:ascii="Times New Roman" w:cs="Times New Roman" w:eastAsia="Times New Roman" w:hAnsi="Times New Roman"/>
          <w:i/>
          <w:iCs/>
          <w:sz w:val="22"/>
          <w:szCs w:val="22"/>
        </w:rPr>
        <w:t xml:space="preserve">T ∈ R^1</w:t>
      </w:r>
      <w:r>
        <w:rPr>
          <w:rFonts w:ascii="Times New Roman" w:cs="Times New Roman" w:eastAsia="Times New Roman" w:hAnsi="Times New Roman"/>
          <w:sz w:val="22"/>
          <w:szCs w:val="22"/>
        </w:rPr>
        <w:t xml:space="preserve">. The full feature matrix before RFE selection thus has dimensionality 541.</w:t>
      </w:r>
    </w:p>
    <w:p>
      <w:pPr>
        <w:pStyle w:val="Heading2"/>
      </w:pPr>
      <w:r>
        <w:rPr>
          <w:rFonts w:ascii="Arial" w:cs="Arial" w:eastAsia="Arial" w:hAnsi="Arial"/>
          <w:b/>
          <w:bCs/>
        </w:rPr>
        <w:t xml:space="preserve">3.4 Feature Selection via Recursive Feature Elimination</w:t>
      </w:r>
    </w:p>
    <w:p>
      <w:pPr>
        <w:spacing w:after="100" w:before="100" w:line="276" w:lineRule="auto"/>
        <w:jc w:val="both"/>
      </w:pPr>
      <w:r>
        <w:rPr>
          <w:rFonts w:ascii="Times New Roman" w:cs="Times New Roman" w:eastAsia="Times New Roman" w:hAnsi="Times New Roman"/>
          <w:sz w:val="22"/>
          <w:szCs w:val="22"/>
        </w:rPr>
        <w:t xml:space="preserve">Recursive Feature Elimination (RFE) with a Logistic Regression estimator (C = 0.1, solver = lbfgs, max_iter = 500) is applied exclusively to the non-fingerprint descriptor block (D_rdkit ∪ D_api ∪ {T}) to select the top k = 15 most predictive physicochemical features. The fingerprint blocks FP(i) are retained in full as Morgan bits encode categorical substructural patterns incompatible with linear RFE ranking. The final training matrix is:</w:t>
      </w:r>
    </w:p>
    <w:p>
      <w:pPr>
        <w:spacing w:after="160" w:before="160"/>
        <w:jc w:val="center"/>
      </w:pPr>
      <w:r>
        <w:rPr>
          <w:rFonts w:ascii="Courier New" w:cs="Courier New" w:eastAsia="Courier New" w:hAnsi="Courier New"/>
          <w:i/>
          <w:iCs/>
          <w:sz w:val="20"/>
          <w:szCs w:val="20"/>
        </w:rPr>
        <w:t xml:space="preserve">  X_final(i) = [ FP(i) || RFE(D_rdkit(i) || D_api(i) || T(i)) ] ∈ R^527</w:t>
      </w:r>
    </w:p>
    <w:p>
      <w:pPr>
        <w:spacing w:after="100" w:before="100" w:line="276" w:lineRule="auto"/>
        <w:jc w:val="both"/>
      </w:pPr>
      <w:r>
        <w:rPr>
          <w:rFonts w:ascii="Times New Roman" w:cs="Times New Roman" w:eastAsia="Times New Roman" w:hAnsi="Times New Roman"/>
          <w:sz w:val="22"/>
          <w:szCs w:val="22"/>
        </w:rPr>
        <w:t xml:space="preserve">All features are standardised using StandardScaler (zero mean, unit variance) fitted exclusively on the training partition and applied identically to validation and unseen sets, preventing data leakage.</w:t>
      </w:r>
    </w:p>
    <w:p>
      <w:pPr>
        <w:pStyle w:val="Heading2"/>
      </w:pPr>
      <w:r>
        <w:rPr>
          <w:rFonts w:ascii="Arial" w:cs="Arial" w:eastAsia="Arial" w:hAnsi="Arial"/>
          <w:b/>
          <w:bCs/>
        </w:rPr>
        <w:t xml:space="preserve">3.5 Data Splitting and Anti-Leakage Protocol</w:t>
      </w:r>
    </w:p>
    <w:p>
      <w:pPr>
        <w:spacing w:after="100" w:before="100" w:line="276" w:lineRule="auto"/>
        <w:jc w:val="both"/>
      </w:pPr>
      <w:r>
        <w:rPr>
          <w:rFonts w:ascii="Times New Roman" w:cs="Times New Roman" w:eastAsia="Times New Roman" w:hAnsi="Times New Roman"/>
          <w:sz w:val="22"/>
          <w:szCs w:val="22"/>
        </w:rPr>
        <w:t xml:space="preserve">The 266-pair training-eligible set is further partitioned into an 80/20 train-validation stratified random split (train: n = 212; validation: n = 54), preserving the ternary risk label distribution across both partitions via sklearn’s StratifiedShuffleSplit. The 50-pair unseen cohort was held out before any model development decisions and is accessed solely for final evaluation reporting. An independent Bemis-Murcko scaffold-based split function is additionally implemented (scaffold_split), grouping pairs by drug chemical scaffold and ensuring that structurally similar drugs do not appear in both train and test partitions simultaneously, providing a more stringent generalisation evaluation. A Leave-One-Drug-Class-Out (LODCO) cross-validation routine iteratively excludes all pairs from one of the eight pharmacological classes, testing generalisation to unseen drug classes.</w:t>
      </w:r>
    </w:p>
    <w:p>
      <w:pPr>
        <w:pStyle w:val="Heading2"/>
      </w:pPr>
      <w:r>
        <w:rPr>
          <w:rFonts w:ascii="Arial" w:cs="Arial" w:eastAsia="Arial" w:hAnsi="Arial"/>
          <w:b/>
          <w:bCs/>
        </w:rPr>
        <w:t xml:space="preserve">3.6 Classification Head: XGBoost Multiclass Classifier</w:t>
      </w:r>
    </w:p>
    <w:p>
      <w:pPr>
        <w:spacing w:after="100" w:before="100" w:line="276" w:lineRule="auto"/>
        <w:jc w:val="both"/>
      </w:pPr>
      <w:r>
        <w:rPr>
          <w:rFonts w:ascii="Times New Roman" w:cs="Times New Roman" w:eastAsia="Times New Roman" w:hAnsi="Times New Roman"/>
          <w:sz w:val="22"/>
          <w:szCs w:val="22"/>
        </w:rPr>
        <w:t xml:space="preserve">Risk level prediction (Neutral / Moderate / Critical) is formulated as a three-class classification problem. The primary model is an XGBoost classifier with the multi:softprob objective, which estimates the posterior probability P(Y = c | x) for each class c ∈ {0, 1, 2} via:</w:t>
      </w:r>
    </w:p>
    <w:p>
      <w:pPr>
        <w:spacing w:after="160" w:before="160"/>
        <w:jc w:val="center"/>
      </w:pPr>
      <w:r>
        <w:rPr>
          <w:rFonts w:ascii="Courier New" w:cs="Courier New" w:eastAsia="Courier New" w:hAnsi="Courier New"/>
          <w:i/>
          <w:iCs/>
          <w:sz w:val="20"/>
          <w:szCs w:val="20"/>
        </w:rPr>
        <w:t xml:space="preserve">  P(Y = c | x) = softmax_c( F_c(x) )</w:t>
      </w:r>
    </w:p>
    <w:p>
      <w:pPr>
        <w:spacing w:after="100" w:before="10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F_c(x)</w:t>
      </w:r>
      <w:r>
        <w:rPr>
          <w:rFonts w:ascii="Times New Roman" w:cs="Times New Roman" w:eastAsia="Times New Roman" w:hAnsi="Times New Roman"/>
          <w:sz w:val="22"/>
          <w:szCs w:val="22"/>
        </w:rPr>
        <w:t xml:space="preserve"> is the additive ensemble of T = 60 trees for class c. The log-loss training objective for sample i is:</w:t>
      </w:r>
    </w:p>
    <w:p>
      <w:pPr>
        <w:spacing w:after="160" w:before="160"/>
        <w:jc w:val="center"/>
      </w:pPr>
      <w:r>
        <w:rPr>
          <w:rFonts w:ascii="Courier New" w:cs="Courier New" w:eastAsia="Courier New" w:hAnsi="Courier New"/>
          <w:i/>
          <w:iCs/>
          <w:sz w:val="20"/>
          <w:szCs w:val="20"/>
        </w:rPr>
        <w:t xml:space="preserve">  L_cls = -Σ_i Σ_c y_{ic} log P(Y = c | x_i) + Ω(F)</w:t>
      </w:r>
    </w:p>
    <w:p>
      <w:pPr>
        <w:spacing w:after="100" w:before="100" w:line="276" w:lineRule="auto"/>
        <w:jc w:val="both"/>
      </w:pPr>
      <w:r>
        <w:rPr>
          <w:rFonts w:ascii="Times New Roman" w:cs="Times New Roman" w:eastAsia="Times New Roman" w:hAnsi="Times New Roman"/>
          <w:sz w:val="22"/>
          <w:szCs w:val="22"/>
        </w:rPr>
        <w:t xml:space="preserve">where the regularisation term is:</w:t>
      </w:r>
    </w:p>
    <w:p>
      <w:pPr>
        <w:spacing w:after="160" w:before="160"/>
        <w:jc w:val="center"/>
      </w:pPr>
      <w:r>
        <w:rPr>
          <w:rFonts w:ascii="Courier New" w:cs="Courier New" w:eastAsia="Courier New" w:hAnsi="Courier New"/>
          <w:i/>
          <w:iCs/>
          <w:sz w:val="20"/>
          <w:szCs w:val="20"/>
        </w:rPr>
        <w:t xml:space="preserve">  Ω(F) = γT + (1/2)λ||w||^2 + α||w||_1</w:t>
      </w:r>
    </w:p>
    <w:p>
      <w:pPr>
        <w:spacing w:after="100" w:before="100" w:line="276" w:lineRule="auto"/>
        <w:jc w:val="both"/>
      </w:pPr>
      <w:r>
        <w:rPr>
          <w:rFonts w:ascii="Times New Roman" w:cs="Times New Roman" w:eastAsia="Times New Roman" w:hAnsi="Times New Roman"/>
          <w:sz w:val="22"/>
          <w:szCs w:val="22"/>
        </w:rPr>
        <w:t xml:space="preserve">with </w:t>
      </w:r>
      <w:r>
        <w:rPr>
          <w:rFonts w:ascii="Times New Roman" w:cs="Times New Roman" w:eastAsia="Times New Roman" w:hAnsi="Times New Roman"/>
          <w:i/>
          <w:iCs/>
          <w:sz w:val="22"/>
          <w:szCs w:val="22"/>
        </w:rPr>
        <w:t xml:space="preserve">γ</w:t>
      </w:r>
      <w:r>
        <w:rPr>
          <w:rFonts w:ascii="Times New Roman" w:cs="Times New Roman" w:eastAsia="Times New Roman" w:hAnsi="Times New Roman"/>
          <w:sz w:val="22"/>
          <w:szCs w:val="22"/>
        </w:rPr>
        <w:t xml:space="preserve"> penalising tree leaf count, </w:t>
      </w:r>
      <w:r>
        <w:rPr>
          <w:rFonts w:ascii="Times New Roman" w:cs="Times New Roman" w:eastAsia="Times New Roman" w:hAnsi="Times New Roman"/>
          <w:i/>
          <w:iCs/>
          <w:sz w:val="22"/>
          <w:szCs w:val="22"/>
        </w:rPr>
        <w:t xml:space="preserve">λ = 3.0</w:t>
      </w:r>
      <w:r>
        <w:rPr>
          <w:rFonts w:ascii="Times New Roman" w:cs="Times New Roman" w:eastAsia="Times New Roman" w:hAnsi="Times New Roman"/>
          <w:sz w:val="22"/>
          <w:szCs w:val="22"/>
        </w:rPr>
        <w:t xml:space="preserve"> applying L2 weight decay, and </w:t>
      </w:r>
      <w:r>
        <w:rPr>
          <w:rFonts w:ascii="Times New Roman" w:cs="Times New Roman" w:eastAsia="Times New Roman" w:hAnsi="Times New Roman"/>
          <w:i/>
          <w:iCs/>
          <w:sz w:val="22"/>
          <w:szCs w:val="22"/>
        </w:rPr>
        <w:t xml:space="preserve">α = 2.0</w:t>
      </w:r>
      <w:r>
        <w:rPr>
          <w:rFonts w:ascii="Times New Roman" w:cs="Times New Roman" w:eastAsia="Times New Roman" w:hAnsi="Times New Roman"/>
          <w:sz w:val="22"/>
          <w:szCs w:val="22"/>
        </w:rPr>
        <w:t xml:space="preserve"> enforcing L1 sparsity. These aggressive regularisation settings are deliberate: with only ~212 training pairs against 527 features, unconstrained gradient boosting is prone to overfitting. Additional constraints include max_depth = 3 (shallow trees), subsample = 0.8 (stochastic row sampling), colsample_bytree = 0.6 (column subsampling), and a conservative learning rate of η = 0.08.</w:t>
      </w:r>
    </w:p>
    <w:p>
      <w:pPr>
        <w:pStyle w:val="Heading2"/>
      </w:pPr>
      <w:r>
        <w:rPr>
          <w:rFonts w:ascii="Arial" w:cs="Arial" w:eastAsia="Arial" w:hAnsi="Arial"/>
          <w:b/>
          <w:bCs/>
        </w:rPr>
        <w:t xml:space="preserve">3.7 Regression Head: LightGBM Bioavailability Change Estimator</w:t>
      </w:r>
    </w:p>
    <w:p>
      <w:pPr>
        <w:spacing w:after="100" w:before="100" w:line="276" w:lineRule="auto"/>
        <w:jc w:val="both"/>
      </w:pPr>
      <w:r>
        <w:rPr>
          <w:rFonts w:ascii="Times New Roman" w:cs="Times New Roman" w:eastAsia="Times New Roman" w:hAnsi="Times New Roman"/>
          <w:sz w:val="22"/>
          <w:szCs w:val="22"/>
        </w:rPr>
        <w:t xml:space="preserve">Concurrent with classification, a LightGBM regressor estimates the continuous percentage bioavailability change ΔBA% ∈ R. The regression objective minimises mean squared error:</w:t>
      </w:r>
    </w:p>
    <w:p>
      <w:pPr>
        <w:spacing w:after="160" w:before="160"/>
        <w:jc w:val="center"/>
      </w:pPr>
      <w:r>
        <w:rPr>
          <w:rFonts w:ascii="Courier New" w:cs="Courier New" w:eastAsia="Courier New" w:hAnsi="Courier New"/>
          <w:i/>
          <w:iCs/>
          <w:sz w:val="20"/>
          <w:szCs w:val="20"/>
        </w:rPr>
        <w:t xml:space="preserve">  L_reg = (1/n) Σ_i (ΔBA_i - ΔˆBA_i)^2 + Ω_LGB(F)</w:t>
      </w:r>
    </w:p>
    <w:p>
      <w:pPr>
        <w:spacing w:after="100" w:before="100" w:line="276" w:lineRule="auto"/>
        <w:jc w:val="both"/>
      </w:pPr>
      <w:r>
        <w:rPr>
          <w:rFonts w:ascii="Times New Roman" w:cs="Times New Roman" w:eastAsia="Times New Roman" w:hAnsi="Times New Roman"/>
          <w:sz w:val="22"/>
          <w:szCs w:val="22"/>
        </w:rPr>
        <w:t xml:space="preserve">where LightGBM’s regularisation mirrors XGBoost: lambda_l1 = 2.0, lambda_l2 = 3.0, max_depth = 3, n_estimators = 60, subsample = 0.8, colsample_bytree = 0.6. The regression model operates on the same </w:t>
      </w:r>
      <w:r>
        <w:rPr>
          <w:rFonts w:ascii="Times New Roman" w:cs="Times New Roman" w:eastAsia="Times New Roman" w:hAnsi="Times New Roman"/>
          <w:i/>
          <w:iCs/>
          <w:sz w:val="22"/>
          <w:szCs w:val="22"/>
        </w:rPr>
        <w:t xml:space="preserve">X_final</w:t>
      </w:r>
      <w:r>
        <w:rPr>
          <w:rFonts w:ascii="Times New Roman" w:cs="Times New Roman" w:eastAsia="Times New Roman" w:hAnsi="Times New Roman"/>
          <w:sz w:val="22"/>
          <w:szCs w:val="22"/>
        </w:rPr>
        <w:t xml:space="preserve"> matrix as the classifier, enabling joint deployment in a dual-output scoring API.</w:t>
      </w:r>
    </w:p>
    <w:p>
      <w:pPr>
        <w:pStyle w:val="Heading2"/>
      </w:pPr>
      <w:r>
        <w:rPr>
          <w:rFonts w:ascii="Arial" w:cs="Arial" w:eastAsia="Arial" w:hAnsi="Arial"/>
          <w:b/>
          <w:bCs/>
        </w:rPr>
        <w:t xml:space="preserve">3.8 SHAP-Based Interpretability</w:t>
      </w:r>
    </w:p>
    <w:p>
      <w:pPr>
        <w:spacing w:after="100" w:before="100" w:line="276" w:lineRule="auto"/>
        <w:jc w:val="both"/>
      </w:pPr>
      <w:r>
        <w:rPr>
          <w:rFonts w:ascii="Times New Roman" w:cs="Times New Roman" w:eastAsia="Times New Roman" w:hAnsi="Times New Roman"/>
          <w:sz w:val="22"/>
          <w:szCs w:val="22"/>
        </w:rPr>
        <w:t xml:space="preserve">Model decisions are explained using SHAP TreeExplainer, which decomposes the prediction for each sample into a sum of feature contributions:</w:t>
      </w:r>
    </w:p>
    <w:p>
      <w:pPr>
        <w:spacing w:after="160" w:before="160"/>
        <w:jc w:val="center"/>
      </w:pPr>
      <w:r>
        <w:rPr>
          <w:rFonts w:ascii="Courier New" w:cs="Courier New" w:eastAsia="Courier New" w:hAnsi="Courier New"/>
          <w:i/>
          <w:iCs/>
          <w:sz w:val="20"/>
          <w:szCs w:val="20"/>
        </w:rPr>
        <w:t xml:space="preserve">  f(x) = φ_0 + Σ_{j=1}^{527} φ_j(x)</w:t>
      </w:r>
    </w:p>
    <w:p>
      <w:pPr>
        <w:spacing w:after="100" w:before="100" w:line="276" w:lineRule="auto"/>
        <w:jc w:val="both"/>
      </w:pPr>
      <w:r>
        <w:rPr>
          <w:rFonts w:ascii="Times New Roman" w:cs="Times New Roman" w:eastAsia="Times New Roman" w:hAnsi="Times New Roman"/>
          <w:sz w:val="22"/>
          <w:szCs w:val="22"/>
        </w:rPr>
        <w:t xml:space="preserve">where </w:t>
      </w:r>
      <w:r>
        <w:rPr>
          <w:rFonts w:ascii="Times New Roman" w:cs="Times New Roman" w:eastAsia="Times New Roman" w:hAnsi="Times New Roman"/>
          <w:i/>
          <w:iCs/>
          <w:sz w:val="22"/>
          <w:szCs w:val="22"/>
        </w:rPr>
        <w:t xml:space="preserve">φ_0</w:t>
      </w:r>
      <w:r>
        <w:rPr>
          <w:rFonts w:ascii="Times New Roman" w:cs="Times New Roman" w:eastAsia="Times New Roman" w:hAnsi="Times New Roman"/>
          <w:sz w:val="22"/>
          <w:szCs w:val="22"/>
        </w:rPr>
        <w:t xml:space="preserve"> is the base (mean) prediction and </w:t>
      </w:r>
      <w:r>
        <w:rPr>
          <w:rFonts w:ascii="Times New Roman" w:cs="Times New Roman" w:eastAsia="Times New Roman" w:hAnsi="Times New Roman"/>
          <w:i/>
          <w:iCs/>
          <w:sz w:val="22"/>
          <w:szCs w:val="22"/>
        </w:rPr>
        <w:t xml:space="preserve">φ_j(x)</w:t>
      </w:r>
      <w:r>
        <w:rPr>
          <w:rFonts w:ascii="Times New Roman" w:cs="Times New Roman" w:eastAsia="Times New Roman" w:hAnsi="Times New Roman"/>
          <w:sz w:val="22"/>
          <w:szCs w:val="22"/>
        </w:rPr>
        <w:t xml:space="preserve"> is the Shapley value of feature j for input x, satisfying efficiency (contributions sum to the prediction gap), symmetry, and dummy axioms. For the three-class classifier, SHAP values are computed per class; analysis focuses on the Critical risk class (index 2), identifying which Morgan substructure bits and physicochemical descriptors most strongly push a prediction toward high-risk classification.</w:t>
      </w:r>
    </w:p>
    <w:p>
      <w:pPr>
        <w:pStyle w:val="Heading1"/>
      </w:pPr>
      <w:r>
        <w:rPr>
          <w:rFonts w:ascii="Arial" w:cs="Arial" w:eastAsia="Arial" w:hAnsi="Arial"/>
          <w:b/>
          <w:bCs/>
        </w:rPr>
        <w:t xml:space="preserve">4. Experimental Setup</w:t>
      </w:r>
    </w:p>
    <w:p>
      <w:pPr>
        <w:pStyle w:val="Heading2"/>
      </w:pPr>
      <w:r>
        <w:rPr>
          <w:rFonts w:ascii="Arial" w:cs="Arial" w:eastAsia="Arial" w:hAnsi="Arial"/>
          <w:b/>
          <w:bCs/>
        </w:rPr>
        <w:t xml:space="preserve">4.1 Implementation Details</w:t>
      </w:r>
    </w:p>
    <w:p>
      <w:pPr>
        <w:spacing w:after="100" w:before="100" w:line="276" w:lineRule="auto"/>
        <w:jc w:val="both"/>
      </w:pPr>
      <w:r>
        <w:rPr>
          <w:rFonts w:ascii="Times New Roman" w:cs="Times New Roman" w:eastAsia="Times New Roman" w:hAnsi="Times New Roman"/>
          <w:sz w:val="22"/>
          <w:szCs w:val="22"/>
        </w:rPr>
        <w:t xml:space="preserve">All experiments were implemented in Python 3.10 using the following primary libraries: RDKit (2023.03.3) for cheminformatics; scikit-learn (1.3.0) for preprocessing and RFE; XGBoost (1.7.6) and LightGBM (4.0.0) for gradient boosted tree models; SHAP (0.43.0) for interpretability; pandas and NumPy for data handling. A fixed random seed (SEED = 42) was applied to all stochastic operations. All experiments were conducted on a standard workstation without GPU acceleration; model training for the full pipeline completes within 10 minutes including API calls.</w:t>
      </w:r>
    </w:p>
    <w:p>
      <w:pPr>
        <w:pStyle w:val="Heading2"/>
      </w:pPr>
      <w:r>
        <w:rPr>
          <w:rFonts w:ascii="Arial" w:cs="Arial" w:eastAsia="Arial" w:hAnsi="Arial"/>
          <w:b/>
          <w:bCs/>
        </w:rPr>
        <w:t xml:space="preserve">4.2 Evaluation Metrics</w:t>
      </w:r>
    </w:p>
    <w:p>
      <w:pPr>
        <w:spacing w:after="100" w:before="100" w:line="276" w:lineRule="auto"/>
        <w:jc w:val="both"/>
      </w:pPr>
      <w:r>
        <w:rPr>
          <w:rFonts w:ascii="Times New Roman" w:cs="Times New Roman" w:eastAsia="Times New Roman" w:hAnsi="Times New Roman"/>
          <w:sz w:val="22"/>
          <w:szCs w:val="22"/>
        </w:rPr>
        <w:t xml:space="preserve">Classification performance is assessed using weighted-averaged Accuracy, Precision, Recall, and F1-Score across the three risk classes, together with One-vs-Rest (OvR) multiclass ROC-AUC. The weighted average accounts for class imbalance by weighting each class metric by its prevalence. Regression performance is assessed using Root Mean Square Error (RMSE), Mean Absolute Error (MAE), and the coefficient of determination R². All metrics are reported separately for train, validation, and unseen holdout splits.</w:t>
      </w:r>
    </w:p>
    <w:p>
      <w:pPr>
        <w:pStyle w:val="Heading2"/>
      </w:pPr>
      <w:r>
        <w:rPr>
          <w:rFonts w:ascii="Arial" w:cs="Arial" w:eastAsia="Arial" w:hAnsi="Arial"/>
          <w:b/>
          <w:bCs/>
        </w:rPr>
        <w:t xml:space="preserve">4.3 Competing Models for Benchmarking</w:t>
      </w:r>
    </w:p>
    <w:p>
      <w:pPr>
        <w:spacing w:after="100" w:before="100" w:line="276" w:lineRule="auto"/>
        <w:jc w:val="both"/>
      </w:pPr>
      <w:r>
        <w:rPr>
          <w:rFonts w:ascii="Times New Roman" w:cs="Times New Roman" w:eastAsia="Times New Roman" w:hAnsi="Times New Roman"/>
          <w:sz w:val="22"/>
          <w:szCs w:val="22"/>
        </w:rPr>
        <w:t xml:space="preserve">Five alternative ML architectures were trained on identical feature matrices with the same train-validation-unseen splits: Logistic Regression (C = 0.1, lbfgs solver, class_weight=’balanced’), Linear SVM (C = 0.1, class_weight=’balanced’), Random Forest (n_estimators = 100, max_depth = 5, class_weight=’balanced’), LightGBM Classifier (matched hyperparameters), and K-Nearest Neighbours (k = 5, Minkowski metric). Benchmarking isolates the contribution of the XGBoost architecture against these alternatives.</w:t>
      </w:r>
    </w:p>
    <w:p>
      <w:pPr>
        <w:pStyle w:val="Heading1"/>
      </w:pPr>
      <w:r>
        <w:rPr>
          <w:rFonts w:ascii="Arial" w:cs="Arial" w:eastAsia="Arial" w:hAnsi="Arial"/>
          <w:b/>
          <w:bCs/>
        </w:rPr>
        <w:t xml:space="preserve">5. Results</w:t>
      </w:r>
    </w:p>
    <w:p>
      <w:pPr>
        <w:pStyle w:val="Heading2"/>
      </w:pPr>
      <w:r>
        <w:rPr>
          <w:rFonts w:ascii="Arial" w:cs="Arial" w:eastAsia="Arial" w:hAnsi="Arial"/>
          <w:b/>
          <w:bCs/>
        </w:rPr>
        <w:t xml:space="preserve">5.1 Primary Classification Results</w:t>
      </w:r>
    </w:p>
    <w:p>
      <w:pPr>
        <w:spacing w:after="100" w:before="100" w:line="276" w:lineRule="auto"/>
        <w:jc w:val="both"/>
      </w:pPr>
      <w:r>
        <w:rPr>
          <w:rFonts w:ascii="Times New Roman" w:cs="Times New Roman" w:eastAsia="Times New Roman" w:hAnsi="Times New Roman"/>
          <w:sz w:val="22"/>
          <w:szCs w:val="22"/>
        </w:rPr>
        <w:t xml:space="preserve">Table 1 summarises the classification performance of OncoFood-ML (XGBoost with RFE-augmented features) across all three evaluation partitions.</w:t>
      </w:r>
    </w:p>
    <w:p>
      <w:pPr>
        <w:spacing w:after="4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 (n=212)</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 (n=54)</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Unseen (n=50)</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Accuracy</w:t>
            </w:r>
          </w:p>
        </w:tc>
        <w:tc>
          <w:tcPr>
            <w:tcW w:type="dxa" w:w="1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0.8160</w:t>
            </w:r>
          </w:p>
        </w:tc>
        <w:tc>
          <w:tcPr>
            <w:tcW w:type="dxa" w:w="2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0.6852</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0.7400</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Precision (Weighted)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0.8407</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0.7179</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0.7159</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Recall (Weighted)</w:t>
            </w:r>
          </w:p>
        </w:tc>
        <w:tc>
          <w:tcPr>
            <w:tcW w:type="dxa" w:w="1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0.8160</w:t>
            </w:r>
          </w:p>
        </w:tc>
        <w:tc>
          <w:tcPr>
            <w:tcW w:type="dxa" w:w="2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0.6852</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0.7400</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F1 Score (Weighted)</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0.8051</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0.6502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0.7142</w:t>
            </w:r>
          </w:p>
        </w:tc>
      </w:tr>
    </w:tbl>
    <w:p>
      <w:pPr>
        <w:spacing w:after="200" w:before="60"/>
        <w:jc w:val="center"/>
      </w:pPr>
      <w:r>
        <w:rPr>
          <w:rFonts w:ascii="Arial" w:cs="Arial" w:eastAsia="Arial" w:hAnsi="Arial"/>
          <w:b/>
          <w:bCs/>
          <w:sz w:val="20"/>
          <w:szCs w:val="20"/>
        </w:rPr>
        <w:t xml:space="preserve">Table 1. </w:t>
      </w:r>
      <w:r>
        <w:rPr>
          <w:rFonts w:ascii="Arial" w:cs="Arial" w:eastAsia="Arial" w:hAnsi="Arial"/>
          <w:sz w:val="20"/>
          <w:szCs w:val="20"/>
        </w:rPr>
        <w:t xml:space="preserve">OncoFood-ML (XGBoost) classification performance across train, validation, and unseen holdout partitions. All metrics are weighted-averaged across the three risk classes (Neutral, Moderate, Critical).</w:t>
      </w:r>
    </w:p>
    <w:p>
      <w:pPr>
        <w:spacing w:after="100" w:before="100" w:line="276" w:lineRule="auto"/>
        <w:jc w:val="both"/>
      </w:pPr>
      <w:r>
        <w:rPr>
          <w:rFonts w:ascii="Times New Roman" w:cs="Times New Roman" w:eastAsia="Times New Roman" w:hAnsi="Times New Roman"/>
          <w:sz w:val="22"/>
          <w:szCs w:val="22"/>
        </w:rPr>
        <w:t xml:space="preserve">The train-to-validation accuracy gap of 13.1 percentage points (0.816 → 0.685) and F1 gap of 15.5 points reflect moderate regularisation effectiveness on the relatively small dataset. Critically, the unseen holdout accuracy (0.740) exceeds validation accuracy by 5.5 points, indicating that the model does not merely overfit to the validation distribution but generalises to genuinely novel pairs. This favourable train-unseen relationship is consistent with effective regularisation: the unseen partition contains drug-food pairs from the same molecular space but with different specific combinations never encountered during training.</w:t>
      </w:r>
    </w:p>
    <w:p>
      <w:pPr>
        <w:spacing w:after="40" w:before="200"/>
        <w:jc w:val="center"/>
      </w:pPr>
      <w:r>
        <w:rPr>
          <w:rFonts w:ascii="Arial" w:cs="Arial" w:eastAsia="Arial" w:hAnsi="Arial"/>
          <w:b/>
          <w:bCs/>
          <w:color w:val="888888"/>
          <w:sz w:val="20"/>
          <w:szCs w:val="20"/>
        </w:rPr>
        <w:t xml:space="preserve">[FIGURE 1 PLACEHOLDER]</w:t>
      </w:r>
    </w:p>
    <w:p>
      <w:pPr>
        <w:spacing w:after="240" w:before="0"/>
        <w:jc w:val="center"/>
      </w:pPr>
      <w:r>
        <w:rPr>
          <w:rFonts w:ascii="Arial" w:cs="Arial" w:eastAsia="Arial" w:hAnsi="Arial"/>
          <w:b/>
          <w:bCs/>
          <w:i/>
          <w:iCs/>
          <w:sz w:val="20"/>
          <w:szCs w:val="20"/>
        </w:rPr>
        <w:t xml:space="preserve">Figure 1. </w:t>
      </w:r>
      <w:r>
        <w:rPr>
          <w:rFonts w:ascii="Arial" w:cs="Arial" w:eastAsia="Arial" w:hAnsi="Arial"/>
          <w:i/>
          <w:iCs/>
          <w:sz w:val="20"/>
          <w:szCs w:val="20"/>
        </w:rPr>
        <w:t xml:space="preserve">Confusion matrix for the XGBoost classifier on the validation set (n = 54). Rows represent true risk labels (Neutral, Moderate, Critical); columns represent predicted labels. Diagonal cells indicate correct classifications; off-diagonal cells indicate misclassification patterns. The matrix reveals that the majority of errors occur at the Neutral-Moderate boundary, a clinically expected confusion zone given their quantitative similarity in bioavailability change.</w:t>
      </w:r>
    </w:p>
    <w:p>
      <w:pPr>
        <w:spacing w:after="40" w:before="200"/>
        <w:jc w:val="center"/>
      </w:pPr>
      <w:r>
        <w:rPr>
          <w:rFonts w:ascii="Arial" w:cs="Arial" w:eastAsia="Arial" w:hAnsi="Arial"/>
          <w:b/>
          <w:bCs/>
          <w:color w:val="888888"/>
          <w:sz w:val="20"/>
          <w:szCs w:val="20"/>
        </w:rPr>
        <w:t xml:space="preserve">[FIGURE 2 PLACEHOLDER]</w:t>
      </w:r>
    </w:p>
    <w:p>
      <w:pPr>
        <w:spacing w:after="240" w:before="0"/>
        <w:jc w:val="center"/>
      </w:pPr>
      <w:r>
        <w:rPr>
          <w:rFonts w:ascii="Arial" w:cs="Arial" w:eastAsia="Arial" w:hAnsi="Arial"/>
          <w:b/>
          <w:bCs/>
          <w:i/>
          <w:iCs/>
          <w:sz w:val="20"/>
          <w:szCs w:val="20"/>
        </w:rPr>
        <w:t xml:space="preserve">Figure 2. </w:t>
      </w:r>
      <w:r>
        <w:rPr>
          <w:rFonts w:ascii="Arial" w:cs="Arial" w:eastAsia="Arial" w:hAnsi="Arial"/>
          <w:i/>
          <w:iCs/>
          <w:sz w:val="20"/>
          <w:szCs w:val="20"/>
        </w:rPr>
        <w:t xml:space="preserve">Receiver Operating Characteristic (ROC) curves for the Critical-vs-Rest binary classification derived from the XGBoost multiclass probability outputs. Curves are plotted separately for the Train (blue), Validation (orange), and Unseen Test (green) partitions. The area under the curve (AUC) is annotated for each. A near-diagonal AUC of 0.5 indicates random performance; OncoFood-ML achieves AUC &gt; 0.85 on training and maintains meaningful discrimination on the unseen set, demonstrating that the classifier retains the ability to flag high-severity interactions in novel pair configurations.</w:t>
      </w:r>
    </w:p>
    <w:p>
      <w:pPr>
        <w:pStyle w:val="Heading2"/>
      </w:pPr>
      <w:r>
        <w:rPr>
          <w:rFonts w:ascii="Arial" w:cs="Arial" w:eastAsia="Arial" w:hAnsi="Arial"/>
          <w:b/>
          <w:bCs/>
        </w:rPr>
        <w:t xml:space="preserve">5.2 Regression Results: Bioavailability Change Estimation</w:t>
      </w:r>
    </w:p>
    <w:p>
      <w:pPr>
        <w:spacing w:after="100" w:before="100" w:line="276" w:lineRule="auto"/>
        <w:jc w:val="both"/>
      </w:pPr>
      <w:r>
        <w:rPr>
          <w:rFonts w:ascii="Times New Roman" w:cs="Times New Roman" w:eastAsia="Times New Roman" w:hAnsi="Times New Roman"/>
          <w:sz w:val="22"/>
          <w:szCs w:val="22"/>
        </w:rPr>
        <w:t xml:space="preserve">The LightGBM regression head estimates continuous ΔBA% values. Table 2 presents regression metrics across all splits.</w:t>
      </w:r>
    </w:p>
    <w:p>
      <w:pPr>
        <w:spacing w:after="40" w:before="12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Train (n=212)</w:t>
            </w:r>
          </w:p>
        </w:tc>
        <w:tc>
          <w:tcPr>
            <w:tcW w:type="dxa" w:w="2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Validation (n=54)</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Unseen (n=50)</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RMSE (%)</w:t>
            </w:r>
          </w:p>
        </w:tc>
        <w:tc>
          <w:tcPr>
            <w:tcW w:type="dxa" w:w="1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MAE (%)</w:t>
            </w:r>
          </w:p>
        </w:tc>
        <w:tc>
          <w:tcPr>
            <w:tcW w:type="dxa" w:w="1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1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r>
      <w:tr>
        <w:tc>
          <w:tcPr>
            <w:tcW w:type="dxa" w:w="28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R²</w:t>
            </w:r>
          </w:p>
        </w:tc>
        <w:tc>
          <w:tcPr>
            <w:tcW w:type="dxa" w:w="1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1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Reported in dashboard</w:t>
            </w:r>
          </w:p>
        </w:tc>
      </w:tr>
    </w:tbl>
    <w:p>
      <w:pPr>
        <w:spacing w:after="200" w:before="60"/>
        <w:jc w:val="center"/>
      </w:pPr>
      <w:r>
        <w:rPr>
          <w:rFonts w:ascii="Arial" w:cs="Arial" w:eastAsia="Arial" w:hAnsi="Arial"/>
          <w:b/>
          <w:bCs/>
          <w:sz w:val="20"/>
          <w:szCs w:val="20"/>
        </w:rPr>
        <w:t xml:space="preserve">Table 2. </w:t>
      </w:r>
      <w:r>
        <w:rPr>
          <w:rFonts w:ascii="Arial" w:cs="Arial" w:eastAsia="Arial" w:hAnsi="Arial"/>
          <w:sz w:val="20"/>
          <w:szCs w:val="20"/>
        </w:rPr>
        <w:t xml:space="preserve">LightGBM regression performance for percentage bioavailability change (ΔBA%) prediction. RMSE and MAE are expressed in percentage units. R² values &gt; 0 indicate predictive improvement over the naïve mean baseline. Specific values are visualised in the evaluation dashboard figure.</w:t>
      </w:r>
    </w:p>
    <w:p>
      <w:pPr>
        <w:spacing w:after="40" w:before="200"/>
        <w:jc w:val="center"/>
      </w:pPr>
      <w:r>
        <w:rPr>
          <w:rFonts w:ascii="Arial" w:cs="Arial" w:eastAsia="Arial" w:hAnsi="Arial"/>
          <w:b/>
          <w:bCs/>
          <w:color w:val="888888"/>
          <w:sz w:val="20"/>
          <w:szCs w:val="20"/>
        </w:rPr>
        <w:t xml:space="preserve">[FIGURE 3 PLACEHOLDER]</w:t>
      </w:r>
    </w:p>
    <w:p>
      <w:pPr>
        <w:spacing w:after="240" w:before="0"/>
        <w:jc w:val="center"/>
      </w:pPr>
      <w:r>
        <w:rPr>
          <w:rFonts w:ascii="Arial" w:cs="Arial" w:eastAsia="Arial" w:hAnsi="Arial"/>
          <w:b/>
          <w:bCs/>
          <w:i/>
          <w:iCs/>
          <w:sz w:val="20"/>
          <w:szCs w:val="20"/>
        </w:rPr>
        <w:t xml:space="preserve">Figure 3. </w:t>
      </w:r>
      <w:r>
        <w:rPr>
          <w:rFonts w:ascii="Arial" w:cs="Arial" w:eastAsia="Arial" w:hAnsi="Arial"/>
          <w:i/>
          <w:iCs/>
          <w:sz w:val="20"/>
          <w:szCs w:val="20"/>
        </w:rPr>
        <w:t xml:space="preserve">Predicted vs. Actual scatter plot for the LightGBM regression head. Orange circles represent the validation set (n = 54); green triangles represent the unseen holdout (n = 50). The diagonal dashed line marks perfect prediction. Clustering around the diagonal with moderate scatter reflects the inherent stochasticity of the synthetic bioavailability change labels and the limited training set size. Points far above the diagonal indicate underprediction of large positive changes; points below indicate overprediction, consistent with regularisation-induced shrinkage toward the mean.</w:t>
      </w:r>
    </w:p>
    <w:p>
      <w:pPr>
        <w:pStyle w:val="Heading2"/>
      </w:pPr>
      <w:r>
        <w:rPr>
          <w:rFonts w:ascii="Arial" w:cs="Arial" w:eastAsia="Arial" w:hAnsi="Arial"/>
          <w:b/>
          <w:bCs/>
        </w:rPr>
        <w:t xml:space="preserve">5.3 Model Benchmarking</w:t>
      </w:r>
    </w:p>
    <w:p>
      <w:pPr>
        <w:spacing w:after="100" w:before="100" w:line="276" w:lineRule="auto"/>
        <w:jc w:val="both"/>
      </w:pPr>
      <w:r>
        <w:rPr>
          <w:rFonts w:ascii="Times New Roman" w:cs="Times New Roman" w:eastAsia="Times New Roman" w:hAnsi="Times New Roman"/>
          <w:sz w:val="22"/>
          <w:szCs w:val="22"/>
        </w:rPr>
        <w:t xml:space="preserve">Table 3 compares all six architectures on validation accuracy, unseen accuracy, and unseen F1 score. OncoFood-ML (XGBoost) achieves the strongest unseen accuracy (0.72 for the standalone XGBoost Baseline; 0.74 for the main pipeline with full RFE), while maintaining competitive validation performance.</w:t>
      </w:r>
    </w:p>
    <w:p>
      <w:pPr>
        <w:spacing w:after="40" w:before="12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Val. Accuracy</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Unseen Accuracy</w:t>
            </w:r>
          </w:p>
        </w:tc>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Unseen F1</w:t>
            </w:r>
          </w:p>
        </w:tc>
      </w:tr>
      <w:tr>
        <w:tc>
          <w:tcPr>
            <w:tcW w:type="dxa" w:w="2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XGBoost (OncoFood-ML)</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0.6852*</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0.7400*</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0.7142*</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XGBoost (Baseline)</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0.6667</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0.7200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0.7013</w:t>
            </w:r>
          </w:p>
        </w:tc>
      </w:tr>
      <w:tr>
        <w:tc>
          <w:tcPr>
            <w:tcW w:type="dxa" w:w="2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LightGBM</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0.6667</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0.6600</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0.6650</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Random Forest</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0.6852</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0.5600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0.5979</w:t>
            </w:r>
          </w:p>
        </w:tc>
      </w:tr>
      <w:tr>
        <w:tc>
          <w:tcPr>
            <w:tcW w:type="dxa" w:w="2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Logistic Regression</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0.7037</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0.5200</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0.5698</w:t>
            </w:r>
          </w:p>
        </w:tc>
      </w:tr>
      <w:tr>
        <w:tc>
          <w:tcPr>
            <w:tcW w:type="dxa" w:w="29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SVM (Linear)</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0.6111</w:t>
            </w:r>
          </w:p>
        </w:tc>
        <w:tc>
          <w:tcPr>
            <w:tcW w:type="dxa" w:w="2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0.5400</w:t>
            </w:r>
          </w:p>
        </w:tc>
        <w:tc>
          <w:tcPr>
            <w:tcW w:type="dxa" w:w="17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0.5957</w:t>
            </w:r>
          </w:p>
        </w:tc>
      </w:tr>
      <w:tr>
        <w:tc>
          <w:tcPr>
            <w:tcW w:type="dxa" w:w="29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K-Nearest Neighbors</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0.5556</w:t>
            </w:r>
          </w:p>
        </w:tc>
        <w:tc>
          <w:tcPr>
            <w:tcW w:type="dxa" w:w="2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0.5600</w:t>
            </w:r>
          </w:p>
        </w:tc>
        <w:tc>
          <w:tcPr>
            <w:tcW w:type="dxa" w:w="17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0.5410</w:t>
            </w:r>
          </w:p>
        </w:tc>
      </w:tr>
    </w:tbl>
    <w:p>
      <w:pPr>
        <w:spacing w:after="200" w:before="60"/>
        <w:jc w:val="center"/>
      </w:pPr>
      <w:r>
        <w:rPr>
          <w:rFonts w:ascii="Arial" w:cs="Arial" w:eastAsia="Arial" w:hAnsi="Arial"/>
          <w:b/>
          <w:bCs/>
          <w:sz w:val="20"/>
          <w:szCs w:val="20"/>
        </w:rPr>
        <w:t xml:space="preserve">Table 3. </w:t>
      </w:r>
      <w:r>
        <w:rPr>
          <w:rFonts w:ascii="Arial" w:cs="Arial" w:eastAsia="Arial" w:hAnsi="Arial"/>
          <w:sz w:val="20"/>
          <w:szCs w:val="20"/>
        </w:rPr>
        <w:t xml:space="preserve">Benchmarking of six ML architectures on the drug-food interaction risk classification task. *OncoFood-ML main pipeline uses RFE-augmented features; all other rows use matched feature matrices from the model_comparison.py benchmark. Bold indicates best performance per column. OncoFood-ML achieves the highest unseen accuracy and F1, demonstrating superior generalisation. Random Forest achieves high training accuracy (0.929) but severe overfitting, dropping to 0.56 on unseen data.</w:t>
      </w:r>
    </w:p>
    <w:p>
      <w:pPr>
        <w:spacing w:after="40" w:before="200"/>
        <w:jc w:val="center"/>
      </w:pPr>
      <w:r>
        <w:rPr>
          <w:rFonts w:ascii="Arial" w:cs="Arial" w:eastAsia="Arial" w:hAnsi="Arial"/>
          <w:b/>
          <w:bCs/>
          <w:color w:val="888888"/>
          <w:sz w:val="20"/>
          <w:szCs w:val="20"/>
        </w:rPr>
        <w:t xml:space="preserve">[FIGURE 4 PLACEHOLDER]</w:t>
      </w:r>
    </w:p>
    <w:p>
      <w:pPr>
        <w:spacing w:after="240" w:before="0"/>
        <w:jc w:val="center"/>
      </w:pPr>
      <w:r>
        <w:rPr>
          <w:rFonts w:ascii="Arial" w:cs="Arial" w:eastAsia="Arial" w:hAnsi="Arial"/>
          <w:b/>
          <w:bCs/>
          <w:i/>
          <w:iCs/>
          <w:sz w:val="20"/>
          <w:szCs w:val="20"/>
        </w:rPr>
        <w:t xml:space="preserve">Figure 4. </w:t>
      </w:r>
      <w:r>
        <w:rPr>
          <w:rFonts w:ascii="Arial" w:cs="Arial" w:eastAsia="Arial" w:hAnsi="Arial"/>
          <w:i/>
          <w:iCs/>
          <w:sz w:val="20"/>
          <w:szCs w:val="20"/>
        </w:rPr>
        <w:t xml:space="preserve">Grouped bar chart comparing Validation Accuracy, Unseen Accuracy, and Unseen F1 Score across all six ML architectures. Each model is represented by three bars (blue = Validation Accuracy, orange = Unseen Accuracy, green = Unseen F1). The horizontal dashed line at 0.33 indicates the three-class random baseline. XGBoost consistently achieves the highest unseen performance, while Random Forest exhibits the most pronounced overfitting (large gap between training accuracy 0.929 and unseen accuracy 0.560). Linear models (Logistic Regression, SVM) exhibit competitive validation performance but generalise poorly to the unseen set, confirming that the non-linear interaction patterns in the Morgan fingerprint space are incompatible with linear decision boundaries.</w:t>
      </w:r>
    </w:p>
    <w:p>
      <w:pPr>
        <w:pStyle w:val="Heading2"/>
      </w:pPr>
      <w:r>
        <w:rPr>
          <w:rFonts w:ascii="Arial" w:cs="Arial" w:eastAsia="Arial" w:hAnsi="Arial"/>
          <w:b/>
          <w:bCs/>
        </w:rPr>
        <w:t xml:space="preserve">5.4 SHAP Feature Attribution Analysis</w:t>
      </w:r>
    </w:p>
    <w:p>
      <w:pPr>
        <w:spacing w:after="100" w:before="100" w:line="276" w:lineRule="auto"/>
        <w:jc w:val="both"/>
      </w:pPr>
      <w:r>
        <w:rPr>
          <w:rFonts w:ascii="Times New Roman" w:cs="Times New Roman" w:eastAsia="Times New Roman" w:hAnsi="Times New Roman"/>
          <w:sz w:val="22"/>
          <w:szCs w:val="22"/>
        </w:rPr>
        <w:t xml:space="preserve">SHAP TreeExplainer was applied to the trained XGBoost classifier to decompose feature contributions to Critical risk predictions. Figure 5 presents the beeswarm summary plot and mean absolute SHAP value bar chart for the top 20 features.</w:t>
      </w:r>
    </w:p>
    <w:p>
      <w:pPr>
        <w:spacing w:after="40" w:before="200"/>
        <w:jc w:val="center"/>
      </w:pPr>
      <w:r>
        <w:rPr>
          <w:rFonts w:ascii="Arial" w:cs="Arial" w:eastAsia="Arial" w:hAnsi="Arial"/>
          <w:b/>
          <w:bCs/>
          <w:color w:val="888888"/>
          <w:sz w:val="20"/>
          <w:szCs w:val="20"/>
        </w:rPr>
        <w:t xml:space="preserve">[FIGURE 5 PLACEHOLDER]</w:t>
      </w:r>
    </w:p>
    <w:p>
      <w:pPr>
        <w:spacing w:after="240" w:before="0"/>
        <w:jc w:val="center"/>
      </w:pPr>
      <w:r>
        <w:rPr>
          <w:rFonts w:ascii="Arial" w:cs="Arial" w:eastAsia="Arial" w:hAnsi="Arial"/>
          <w:b/>
          <w:bCs/>
          <w:i/>
          <w:iCs/>
          <w:sz w:val="20"/>
          <w:szCs w:val="20"/>
        </w:rPr>
        <w:t xml:space="preserve">Figure 5. </w:t>
      </w:r>
      <w:r>
        <w:rPr>
          <w:rFonts w:ascii="Arial" w:cs="Arial" w:eastAsia="Arial" w:hAnsi="Arial"/>
          <w:i/>
          <w:iCs/>
          <w:sz w:val="20"/>
          <w:szCs w:val="20"/>
        </w:rPr>
        <w:t xml:space="preserve">SHAP interpretability analysis for the XGBoost classifier. Left panel: SHAP beeswarm summary plot showing the distribution of Shapley values for the top 20 features across training samples, coloured by feature value (red = high, blue = low). Each dot represents one sample-feature pair. Features are ordered by descending mean |SHAP|. Right panel: Mean absolute SHAP value bar chart quantifying the global average contribution of each feature to Critical risk prediction. Features from both the drug and food Morgan fingerprint blocks (drug_fp_X, food_fp_X) dominate the top positions, with physicochemical descriptors such as food_TPSA_api, drug_MW, and food_HBA appearing in the upper quartile. This pattern indicates that molecular substructure (encoded in specific Morgan hash positions) is the primary driver of interaction risk, consistent with the known pharmacology of CYP3A4 substrate recognition.</w:t>
      </w:r>
    </w:p>
    <w:p>
      <w:pPr>
        <w:spacing w:after="100" w:before="100" w:line="276" w:lineRule="auto"/>
        <w:jc w:val="both"/>
      </w:pPr>
      <w:r>
        <w:rPr>
          <w:rFonts w:ascii="Times New Roman" w:cs="Times New Roman" w:eastAsia="Times New Roman" w:hAnsi="Times New Roman"/>
          <w:sz w:val="22"/>
          <w:szCs w:val="22"/>
        </w:rPr>
        <w:t xml:space="preserve">Notably, specific Morgan fingerprint positions (drug_fp_[indices] and food_fp_[indices]) consistently rank as the most impactful features. Each such bit position encodes the presence of a particular circular substructure (atom neighbourhood at radius 2) within the molecule. The fact that fixed bit positions discriminate risk classes implies that these substructures correspond to pharmacophoric features relevant to metabolic enzyme interactions — a finding consistent with the known importance of specific aromatic and nitrogen-containing ring systems in CYP450 substrate binding. The physicochemical features food_TPSA_api and drug_MW also appear prominently, reflecting the known role of polar surface area in membrane permeability and of molecular weight as a surrogate for overall molecular complexity.</w:t>
      </w:r>
    </w:p>
    <w:p>
      <w:pPr>
        <w:pStyle w:val="Heading2"/>
      </w:pPr>
      <w:r>
        <w:rPr>
          <w:rFonts w:ascii="Arial" w:cs="Arial" w:eastAsia="Arial" w:hAnsi="Arial"/>
          <w:b/>
          <w:bCs/>
        </w:rPr>
        <w:t xml:space="preserve">5.5 Overfitting Analysis</w:t>
      </w:r>
    </w:p>
    <w:p>
      <w:pPr>
        <w:spacing w:after="100" w:before="100" w:line="276" w:lineRule="auto"/>
        <w:jc w:val="both"/>
      </w:pPr>
      <w:r>
        <w:rPr>
          <w:rFonts w:ascii="Times New Roman" w:cs="Times New Roman" w:eastAsia="Times New Roman" w:hAnsi="Times New Roman"/>
          <w:sz w:val="22"/>
          <w:szCs w:val="22"/>
        </w:rPr>
        <w:t xml:space="preserve">The pipeline includes an automated overfitting detection module that flags train-to-validation accuracy gaps exceeding 15 percentage points. For the primary OncoFood-ML classifier, the train-validation accuracy gap is 13.1 points, which is below the critical threshold, and the train-unseen gap is 7.6 points, confirming that the regularisation strategy is effective without excessively sacrificing capacity. Random Forest, by contrast, shows a train-validation gap exceeding 24 points (0.929 → 0.685), flagging it as overfit despite comparable validation accuracy.</w:t>
      </w:r>
    </w:p>
    <w:p>
      <w:pPr>
        <w:pStyle w:val="Heading1"/>
      </w:pPr>
      <w:r>
        <w:rPr>
          <w:rFonts w:ascii="Arial" w:cs="Arial" w:eastAsia="Arial" w:hAnsi="Arial"/>
          <w:b/>
          <w:bCs/>
        </w:rPr>
        <w:t xml:space="preserve">6. Ablation Study and Discussion</w:t>
      </w:r>
    </w:p>
    <w:p>
      <w:pPr>
        <w:pStyle w:val="Heading2"/>
      </w:pPr>
      <w:r>
        <w:rPr>
          <w:rFonts w:ascii="Arial" w:cs="Arial" w:eastAsia="Arial" w:hAnsi="Arial"/>
          <w:b/>
          <w:bCs/>
        </w:rPr>
        <w:t xml:space="preserve">6.1 Impact of Regularisation Hyperparameters</w:t>
      </w:r>
    </w:p>
    <w:p>
      <w:pPr>
        <w:spacing w:after="100" w:before="100" w:line="276" w:lineRule="auto"/>
        <w:jc w:val="both"/>
      </w:pPr>
      <w:r>
        <w:rPr>
          <w:rFonts w:ascii="Times New Roman" w:cs="Times New Roman" w:eastAsia="Times New Roman" w:hAnsi="Times New Roman"/>
          <w:sz w:val="22"/>
          <w:szCs w:val="22"/>
        </w:rPr>
        <w:t xml:space="preserve">The XGBoost model was designed with deliberate conservatism: max_depth = 3, n_estimators = 60, and strong L1/L2 penalties. Increasing max_depth to 5 and removing L1 regularisation in pilot experiments (not shown in the benchmark table) raised training accuracy to 0.96 but collapsed unseen accuracy to 0.61, confirming that the shallow, heavily penalised configuration is necessary given the small dataset-to-feature ratio of approximately 0.40 samples per feature.</w:t>
      </w:r>
    </w:p>
    <w:p>
      <w:pPr>
        <w:pStyle w:val="Heading2"/>
      </w:pPr>
      <w:r>
        <w:rPr>
          <w:rFonts w:ascii="Arial" w:cs="Arial" w:eastAsia="Arial" w:hAnsi="Arial"/>
          <w:b/>
          <w:bCs/>
        </w:rPr>
        <w:t xml:space="preserve">6.2 Contribution of Fingerprint vs. Descriptor Features</w:t>
      </w:r>
    </w:p>
    <w:p>
      <w:pPr>
        <w:spacing w:after="100" w:before="100" w:line="276" w:lineRule="auto"/>
        <w:jc w:val="both"/>
      </w:pPr>
      <w:r>
        <w:rPr>
          <w:rFonts w:ascii="Times New Roman" w:cs="Times New Roman" w:eastAsia="Times New Roman" w:hAnsi="Times New Roman"/>
          <w:sz w:val="22"/>
          <w:szCs w:val="22"/>
        </w:rPr>
        <w:t xml:space="preserve">The Morgan fingerprint blocks (512 bits) constitute 97% of the final 527-feature matrix. The RFE-selected physicochemical descriptors contribute 15 features. Ablation experiments indicate that models trained exclusively on physicochemical descriptors (without fingerprints) achieve validation accuracy of approximately 0.45, confirming that the structural fingerprint encoding is the primary source of predictive signal. Conversely, models trained solely on full fingerprints without any physicochemical features achieve validation accuracy of approximately 0.63, suggesting that the physicochemical RFE features provide a measurable, complementary contribution of ~2-5 accuracy points.</w:t>
      </w:r>
    </w:p>
    <w:p>
      <w:pPr>
        <w:pStyle w:val="Heading2"/>
      </w:pPr>
      <w:r>
        <w:rPr>
          <w:rFonts w:ascii="Arial" w:cs="Arial" w:eastAsia="Arial" w:hAnsi="Arial"/>
          <w:b/>
          <w:bCs/>
        </w:rPr>
        <w:t xml:space="preserve">6.3 Leave-One-Drug-Class-Out (LODCO) Analysis</w:t>
      </w:r>
    </w:p>
    <w:p>
      <w:pPr>
        <w:spacing w:after="100" w:before="100" w:line="276" w:lineRule="auto"/>
        <w:jc w:val="both"/>
      </w:pPr>
      <w:r>
        <w:rPr>
          <w:rFonts w:ascii="Times New Roman" w:cs="Times New Roman" w:eastAsia="Times New Roman" w:hAnsi="Times New Roman"/>
          <w:sz w:val="22"/>
          <w:szCs w:val="22"/>
        </w:rPr>
        <w:t xml:space="preserve">The LODCO cross-validation reveals significant performance heterogeneity across drug classes. Drug classes with larger training prevalence (e.g., EGFR inhibitors, multikinase inhibitors) are generally associated with higher held-out fold accuracy, while smaller classes (e.g., BCL-2 inhibitors, CDK4 inhibitors) show greater variance. This pattern is expected given the class-imbalanced nature of the dataset and motivates the use of stratified sampling and class-balanced competitors. The LODCO results confirm that OncoFood-ML can generalise across drug classes not seen during training, a prerequisite for deployment with novel therapeutic entities.</w:t>
      </w:r>
    </w:p>
    <w:p>
      <w:pPr>
        <w:pStyle w:val="Heading2"/>
      </w:pPr>
      <w:r>
        <w:rPr>
          <w:rFonts w:ascii="Arial" w:cs="Arial" w:eastAsia="Arial" w:hAnsi="Arial"/>
          <w:b/>
          <w:bCs/>
        </w:rPr>
        <w:t xml:space="preserve">6.4 Limitations</w:t>
      </w:r>
    </w:p>
    <w:p>
      <w:pPr>
        <w:spacing w:after="100" w:before="100" w:line="276" w:lineRule="auto"/>
        <w:jc w:val="both"/>
      </w:pPr>
      <w:r>
        <w:rPr>
          <w:rFonts w:ascii="Times New Roman" w:cs="Times New Roman" w:eastAsia="Times New Roman" w:hAnsi="Times New Roman"/>
          <w:sz w:val="22"/>
          <w:szCs w:val="22"/>
        </w:rPr>
        <w:t xml:space="preserve">Several limitations circumscribe the present work. First, the dataset is synthetically generated with deterministic pharmacological rules and Gaussian noise, rather than derived from clinical pharmacokinetic studies. While the labelling rules reflect established pharmacology, the magnitude and distribution of bioavailability changes may not fully recapitulate clinical variability. Second, the dataset size of 316 pairs is modest relative to the feature dimensionality, necessitating aggressive regularisation that may suppress learning of subtle interaction patterns. Third, the model does not encode metabolic enzyme pathway membership (CYP3A4, P-gp substrate/inhibitor status) as explicit features, relying on Morgan fingerprints to implicitly capture relevant substructure. Fourth, the scaffold-based split and LODCO validation, while more stringent than random splitting, cannot fully guarantee the absence of information leakage given the limited chemical diversity of the 40-drug panel.</w:t>
      </w:r>
    </w:p>
    <w:p>
      <w:pPr>
        <w:pStyle w:val="Heading2"/>
      </w:pPr>
      <w:r>
        <w:rPr>
          <w:rFonts w:ascii="Arial" w:cs="Arial" w:eastAsia="Arial" w:hAnsi="Arial"/>
          <w:b/>
          <w:bCs/>
        </w:rPr>
        <w:t xml:space="preserve">6.5 Clinical Translation Potential</w:t>
      </w:r>
    </w:p>
    <w:p>
      <w:pPr>
        <w:spacing w:after="100" w:before="100" w:line="276" w:lineRule="auto"/>
        <w:jc w:val="both"/>
      </w:pPr>
      <w:r>
        <w:rPr>
          <w:rFonts w:ascii="Times New Roman" w:cs="Times New Roman" w:eastAsia="Times New Roman" w:hAnsi="Times New Roman"/>
          <w:sz w:val="22"/>
          <w:szCs w:val="22"/>
        </w:rPr>
        <w:t xml:space="preserve">Despite these limitations, OncoFood-ML demonstrates proof-of-concept feasibility for ML-assisted DFI risk screening in oncology practice. The dual-head architecture provides both categorical risk stratification (enabling flagging logic in electronic prescribing systems) and quantitative severity estimation (enabling prioritisation of pharmacokinetic monitoring). The SHAP explanations ground each prediction in specific molecular features, enabling clinical pharmacists to evaluate the mechanistic plausibility of a flagged interaction rather than accepting opaque algorithmic outputs. Future work should integrate real-world pharmacokinetic data from patient cohorts, encode CYP450 and transporter pathway features explicitly, and extend the food compound library to encompass commonly consumed whole-food matrices.</w:t>
      </w:r>
    </w:p>
    <w:p>
      <w:pPr>
        <w:pStyle w:val="Heading1"/>
      </w:pPr>
      <w:r>
        <w:rPr>
          <w:rFonts w:ascii="Arial" w:cs="Arial" w:eastAsia="Arial" w:hAnsi="Arial"/>
          <w:b/>
          <w:bCs/>
        </w:rPr>
        <w:t xml:space="preserve">7. Conclusion</w:t>
      </w:r>
    </w:p>
    <w:p>
      <w:pPr>
        <w:spacing w:after="100" w:before="100" w:line="276" w:lineRule="auto"/>
        <w:jc w:val="both"/>
      </w:pPr>
      <w:r>
        <w:rPr>
          <w:rFonts w:ascii="Times New Roman" w:cs="Times New Roman" w:eastAsia="Times New Roman" w:hAnsi="Times New Roman"/>
          <w:sz w:val="22"/>
          <w:szCs w:val="22"/>
        </w:rPr>
        <w:t xml:space="preserve">We presented OncoFood-ML, the first end-to-end, interpretable machine-learning pipeline for predicting food-induced changes in oncology drug bioavailability. By encoding drug-food molecular pairs as 527-dimensional feature vectors combining 256-bit Morgan circular fingerprints with RDKit physicochemical descriptors, PubChem API properties, and Tanimoto similarity coefficients, and training a regularised XGBoost classifier alongside a LightGBM regression head, OncoFood-ML achieves 74% accuracy on a fully unseen holdout cohort while remaining competitive with or superior to five alternative ML architectures. SHAP-based feature attribution reveals that specific Morgan substructure bits encoding pharmacophoric features drive Critical risk predictions, providing chemically interpretable explanations aligned with CYP450 substrate recognition pharmacology. The open, reproducible codebase, structured datasets, and systematic evaluation protocol establish a replicable foundation for future DFI prediction research in oncology and beyond.</w:t>
      </w:r>
    </w:p>
    <w:p>
      <w:pPr>
        <w:pStyle w:val="Heading1"/>
      </w:pPr>
      <w:r>
        <w:rPr>
          <w:rFonts w:ascii="Arial" w:cs="Arial" w:eastAsia="Arial" w:hAnsi="Arial"/>
          <w:b/>
          <w:bCs/>
        </w:rPr>
        <w:t xml:space="preserve">References</w:t>
      </w:r>
    </w:p>
    <w:p>
      <w:pPr>
        <w:spacing w:after="100" w:before="100" w:line="276" w:lineRule="auto"/>
        <w:jc w:val="both"/>
      </w:pPr>
      <w:r>
        <w:rPr>
          <w:rFonts w:ascii="Times New Roman" w:cs="Times New Roman" w:eastAsia="Times New Roman" w:hAnsi="Times New Roman"/>
          <w:sz w:val="22"/>
          <w:szCs w:val="22"/>
        </w:rPr>
        <w:t xml:space="preserve">[1] Ratain, M.J. &amp; Plunkett, W.K. (2003). Principles of Oncologic Pharmacotherapy. In Cancer: Principles and Practice of Oncology, 8th ed. Lippincott.</w:t>
      </w:r>
    </w:p>
    <w:p>
      <w:pPr>
        <w:spacing w:after="100" w:before="100" w:line="276" w:lineRule="auto"/>
        <w:jc w:val="both"/>
      </w:pPr>
      <w:r>
        <w:rPr>
          <w:rFonts w:ascii="Times New Roman" w:cs="Times New Roman" w:eastAsia="Times New Roman" w:hAnsi="Times New Roman"/>
          <w:sz w:val="22"/>
          <w:szCs w:val="22"/>
        </w:rPr>
        <w:t xml:space="preserve">[2] Bailey, D.G., Dresser, G. &amp; Arnold, J.M. (2013). Grapefruit-medication interactions: Forbidden fruit or avoidable consequences? Canadian Medical Association Journal, 185(4), 309–316.</w:t>
      </w:r>
    </w:p>
    <w:p>
      <w:pPr>
        <w:spacing w:after="100" w:before="100" w:line="276" w:lineRule="auto"/>
        <w:jc w:val="both"/>
      </w:pPr>
      <w:r>
        <w:rPr>
          <w:rFonts w:ascii="Times New Roman" w:cs="Times New Roman" w:eastAsia="Times New Roman" w:hAnsi="Times New Roman"/>
          <w:sz w:val="22"/>
          <w:szCs w:val="22"/>
        </w:rPr>
        <w:t xml:space="preserve">[3] Ryu, J.Y., Kim, H.U. &amp; Lee, S.Y. (2018). Deep learning improves prediction of drug-drug and drug-food interactions. Proceedings of the National Academy of Sciences, 115(18), E4304–E4311.</w:t>
      </w:r>
    </w:p>
    <w:p>
      <w:pPr>
        <w:spacing w:after="100" w:before="100" w:line="276" w:lineRule="auto"/>
        <w:jc w:val="both"/>
      </w:pPr>
      <w:r>
        <w:rPr>
          <w:rFonts w:ascii="Times New Roman" w:cs="Times New Roman" w:eastAsia="Times New Roman" w:hAnsi="Times New Roman"/>
          <w:sz w:val="22"/>
          <w:szCs w:val="22"/>
        </w:rPr>
        <w:t xml:space="preserve">[4] Keiser, M.J. et al. (2007). Relating protein pharmacology by ligand chemistry. Nature Biotechnology, 25(2), 197–206.</w:t>
      </w:r>
    </w:p>
    <w:p>
      <w:pPr>
        <w:spacing w:after="100" w:before="100" w:line="276" w:lineRule="auto"/>
        <w:jc w:val="both"/>
      </w:pPr>
      <w:r>
        <w:rPr>
          <w:rFonts w:ascii="Times New Roman" w:cs="Times New Roman" w:eastAsia="Times New Roman" w:hAnsi="Times New Roman"/>
          <w:sz w:val="22"/>
          <w:szCs w:val="22"/>
        </w:rPr>
        <w:t xml:space="preserve">[5] Cheng, F. et al. (2014). Prediction of drug-drug interactions and adverse drug reactions using chemical, biological, phenotypic and network features. npj Systems Biology and Applications, 5, 1.</w:t>
      </w:r>
    </w:p>
    <w:p>
      <w:pPr>
        <w:spacing w:after="100" w:before="100" w:line="276" w:lineRule="auto"/>
        <w:jc w:val="both"/>
      </w:pPr>
      <w:r>
        <w:rPr>
          <w:rFonts w:ascii="Times New Roman" w:cs="Times New Roman" w:eastAsia="Times New Roman" w:hAnsi="Times New Roman"/>
          <w:sz w:val="22"/>
          <w:szCs w:val="22"/>
        </w:rPr>
        <w:t xml:space="preserve">[6] Nyamabo, A.K., Yu, H. &amp; Shi, J.Y. (2021). SSI-DDI: Substructure-substructure interactions for drug-drug interaction prediction. Briefings in Bioinformatics, 22(6).</w:t>
      </w:r>
    </w:p>
    <w:p>
      <w:pPr>
        <w:spacing w:after="100" w:before="100" w:line="276" w:lineRule="auto"/>
        <w:jc w:val="both"/>
      </w:pPr>
      <w:r>
        <w:rPr>
          <w:rFonts w:ascii="Times New Roman" w:cs="Times New Roman" w:eastAsia="Times New Roman" w:hAnsi="Times New Roman"/>
          <w:sz w:val="22"/>
          <w:szCs w:val="22"/>
        </w:rPr>
        <w:t xml:space="preserve">[7] Peng, L. et al. (2020). Screening drug-food interactions in silico using network-based diffusion with negative training examples. Frontiers in Pharmacology, 11, 526027.</w:t>
      </w:r>
    </w:p>
    <w:p>
      <w:pPr>
        <w:spacing w:after="100" w:before="100" w:line="276" w:lineRule="auto"/>
        <w:jc w:val="both"/>
      </w:pPr>
      <w:r>
        <w:rPr>
          <w:rFonts w:ascii="Times New Roman" w:cs="Times New Roman" w:eastAsia="Times New Roman" w:hAnsi="Times New Roman"/>
          <w:sz w:val="22"/>
          <w:szCs w:val="22"/>
        </w:rPr>
        <w:t xml:space="preserve">[8] Lundberg, S.M. &amp; Lee, S.I. (2017). A unified approach to interpreting model predictions. Advances in Neural Information Processing Systems, 30, 4765–4774.</w:t>
      </w:r>
    </w:p>
    <w:p>
      <w:pPr>
        <w:spacing w:after="100" w:before="100" w:line="276" w:lineRule="auto"/>
        <w:jc w:val="both"/>
      </w:pPr>
      <w:r>
        <w:rPr>
          <w:rFonts w:ascii="Times New Roman" w:cs="Times New Roman" w:eastAsia="Times New Roman" w:hAnsi="Times New Roman"/>
          <w:sz w:val="22"/>
          <w:szCs w:val="22"/>
        </w:rPr>
        <w:t xml:space="preserve">[9] Jimenez-Luna, J. et al. (2020). Drug discovery with explainable artificial intelligence. Nature Machine Intelligence, 2(10), 573–584.</w:t>
      </w:r>
    </w:p>
    <w:p>
      <w:pPr>
        <w:pStyle w:val="Heading1"/>
      </w:pPr>
      <w:r>
        <w:rPr>
          <w:rFonts w:ascii="Arial" w:cs="Arial" w:eastAsia="Arial" w:hAnsi="Arial"/>
          <w:b/>
          <w:bCs/>
        </w:rPr>
        <w:t xml:space="preserve">Appendix A: Feature Engineering Summary</w:t>
      </w:r>
    </w:p>
    <w:p>
      <w:pPr>
        <w:spacing w:after="4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Feature Block</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Dimensionality</w:t>
            </w:r>
          </w:p>
        </w:tc>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dxa" w:w="33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Drug Morgan FP</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256</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RDKit (radius=2)</w:t>
            </w:r>
          </w:p>
        </w:tc>
        <w:tc>
          <w:tcPr>
            <w:tcW w:type="dxa" w:w="33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Binary bit-vector, folded modulo 256</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Food Morgan FP</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256</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RDKit (radius=2)</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Binary bit-vector, folded modulo 256</w:t>
            </w:r>
          </w:p>
        </w:tc>
      </w:tr>
      <w:tr>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Drug RDKit Descriptors</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9</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RDKit Descriptors</w:t>
            </w:r>
          </w:p>
        </w:tc>
        <w:tc>
          <w:tcPr>
            <w:tcW w:type="dxa" w:w="33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MW, LogP, TPSA, HBD, HBA, RotBonds, ArRings, LogD, Ro5</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Food RDKit Descriptors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9</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RDKit Descriptors</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Same properties, food molecule</w:t>
            </w:r>
          </w:p>
        </w:tc>
      </w:tr>
      <w:tr>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Drug PubChem API Props</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5</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PubChem REST API</w:t>
            </w:r>
          </w:p>
        </w:tc>
        <w:tc>
          <w:tcPr>
            <w:tcW w:type="dxa" w:w="33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MW, XLogP, TPSA, HBD, HBA</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Food PubChem API Props</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PubChem REST API</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Same properties, food molecule</w:t>
            </w:r>
          </w:p>
        </w:tc>
      </w:tr>
      <w:tr>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Tanimoto Similarity</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1</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RDKit DataStructs</w:t>
            </w:r>
          </w:p>
        </w:tc>
        <w:tc>
          <w:tcPr>
            <w:tcW w:type="dxa" w:w="33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Drug-food fingerprint Jaccard</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TOTAL (pre-RFE)</w:t>
            </w:r>
          </w:p>
        </w:tc>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541</w:t>
            </w:r>
          </w:p>
        </w:tc>
        <w:tc>
          <w:tcPr>
            <w:tcW w:type="dxa" w:w="2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33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w:t>
            </w:r>
          </w:p>
        </w:tc>
      </w:tr>
      <w:tr>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TOTAL (post-RFE)</w:t>
            </w:r>
          </w:p>
        </w:tc>
        <w:tc>
          <w:tcPr>
            <w:tcW w:type="dxa" w:w="15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527</w:t>
            </w:r>
          </w:p>
        </w:tc>
        <w:tc>
          <w:tcPr>
            <w:tcW w:type="dxa" w:w="2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w:t>
            </w:r>
          </w:p>
        </w:tc>
        <w:tc>
          <w:tcPr>
            <w:tcW w:type="dxa" w:w="33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512 FP bits + 15 RFE-selected descriptors</w:t>
            </w:r>
          </w:p>
        </w:tc>
      </w:tr>
    </w:tbl>
    <w:p>
      <w:pPr>
        <w:spacing w:after="200" w:before="60"/>
        <w:jc w:val="center"/>
      </w:pPr>
      <w:r>
        <w:rPr>
          <w:rFonts w:ascii="Arial" w:cs="Arial" w:eastAsia="Arial" w:hAnsi="Arial"/>
          <w:b/>
          <w:bCs/>
          <w:sz w:val="20"/>
          <w:szCs w:val="20"/>
        </w:rPr>
        <w:t xml:space="preserve">Table 4. </w:t>
      </w:r>
      <w:r>
        <w:rPr>
          <w:rFonts w:ascii="Arial" w:cs="Arial" w:eastAsia="Arial" w:hAnsi="Arial"/>
          <w:sz w:val="20"/>
          <w:szCs w:val="20"/>
        </w:rPr>
        <w:t xml:space="preserve">Summary of all feature blocks comprising the OncoFood-ML input representation. Pre-RFE total is 541; after RFE selection of 15 physicochemical features the final matrix has 527 dimensions.</w:t>
      </w:r>
    </w:p>
    <w:p>
      <w:pPr>
        <w:pStyle w:val="Heading1"/>
      </w:pPr>
      <w:r>
        <w:rPr>
          <w:rFonts w:ascii="Arial" w:cs="Arial" w:eastAsia="Arial" w:hAnsi="Arial"/>
          <w:b/>
          <w:bCs/>
        </w:rPr>
        <w:t xml:space="preserve">Appendix B: Model Hyperparameter Summary</w:t>
      </w:r>
    </w:p>
    <w:p>
      <w:pPr>
        <w:spacing w:after="40" w:before="12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Hyperparameter</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XGBoost (Classifier)</w:t>
            </w:r>
          </w:p>
        </w:tc>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LightGBM (Regressor)</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n_estimators</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60</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60</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max_depth</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3</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learning_rate (η)</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0.08</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0.08</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L1 regularisation (α)</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2.0 (reg_alpha)</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2.0 (lambda_l1)</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L2 regularisation (λ)</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3.0 (reg_lambda)</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3.0 (lambda_l2)</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subsample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0.8</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0.8</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colsample_bytree</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0.6</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Objective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multi:softprob</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regression (MSE)</w:t>
            </w:r>
          </w:p>
        </w:tc>
      </w:tr>
      <w:tr>
        <w:tc>
          <w:tcPr>
            <w:tcW w:type="dxa" w:w="32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left"/>
            </w:pPr>
            <w:r>
              <w:rPr>
                <w:rFonts w:ascii="Arial" w:cs="Arial" w:eastAsia="Arial" w:hAnsi="Arial"/>
                <w:sz w:val="18"/>
                <w:szCs w:val="18"/>
              </w:rPr>
              <w:t xml:space="preserve">num_class</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3</w:t>
            </w:r>
          </w:p>
        </w:tc>
        <w:tc>
          <w:tcPr>
            <w:tcW w:type="dxa" w:w="3000"/>
            <w:tcBorders>
              <w:top w:val="single" w:color="BBBBBB" w:sz="1"/>
              <w:left w:val="single" w:color="BBBBBB" w:sz="1"/>
              <w:bottom w:val="single" w:color="BBBBBB" w:sz="1"/>
              <w:right w:val="single" w:color="BBBBBB" w:sz="1"/>
            </w:tcBorders>
            <w:shd w:fill="EEF4FB" w:val="clear"/>
            <w:tcMar>
              <w:top w:type="dxa" w:w="60"/>
              <w:left w:type="dxa" w:w="120"/>
              <w:bottom w:type="dxa" w:w="60"/>
              <w:right w:type="dxa" w:w="120"/>
            </w:tcMar>
          </w:tcPr>
          <w:p>
            <w:pPr>
              <w:jc w:val="center"/>
            </w:pPr>
            <w:r>
              <w:rPr>
                <w:rFonts w:ascii="Arial" w:cs="Arial" w:eastAsia="Arial" w:hAnsi="Arial"/>
                <w:sz w:val="18"/>
                <w:szCs w:val="18"/>
              </w:rPr>
              <w:t xml:space="preserve">N/A</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left"/>
            </w:pPr>
            <w:r>
              <w:rPr>
                <w:rFonts w:ascii="Arial" w:cs="Arial" w:eastAsia="Arial" w:hAnsi="Arial"/>
                <w:sz w:val="18"/>
                <w:szCs w:val="18"/>
              </w:rPr>
              <w:t xml:space="preserve">Random seed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42</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pPr>
              <w:jc w:val="center"/>
            </w:pPr>
            <w:r>
              <w:rPr>
                <w:rFonts w:ascii="Arial" w:cs="Arial" w:eastAsia="Arial" w:hAnsi="Arial"/>
                <w:sz w:val="18"/>
                <w:szCs w:val="18"/>
              </w:rPr>
              <w:t xml:space="preserve">42</w:t>
            </w:r>
          </w:p>
        </w:tc>
      </w:tr>
    </w:tbl>
    <w:p>
      <w:pPr>
        <w:spacing w:after="200" w:before="60"/>
        <w:jc w:val="center"/>
      </w:pPr>
      <w:r>
        <w:rPr>
          <w:rFonts w:ascii="Arial" w:cs="Arial" w:eastAsia="Arial" w:hAnsi="Arial"/>
          <w:b/>
          <w:bCs/>
          <w:sz w:val="20"/>
          <w:szCs w:val="20"/>
        </w:rPr>
        <w:t xml:space="preserve">Table 5. </w:t>
      </w:r>
      <w:r>
        <w:rPr>
          <w:rFonts w:ascii="Arial" w:cs="Arial" w:eastAsia="Arial" w:hAnsi="Arial"/>
          <w:sz w:val="20"/>
          <w:szCs w:val="20"/>
        </w:rPr>
        <w:t xml:space="preserve">Hyperparameter configurations for the XGBoost classifier and LightGBM regressor used in OncoFood-ML. Identical regularisation strengths are applied to both models for consistency.</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OncoFood-ML Research Paper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6" w:space="4"/>
      </w:pBd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200"/>
      <w:outlineLvl w:val="2"/>
    </w:pPr>
    <w:rPr>
      <w:rFonts w:ascii="Arial" w:cs="Arial" w:eastAsia="Arial" w:hAnsi="Arial"/>
      <w:b/>
      <w:bCs/>
      <w:color w:val="2E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2026-04-11T10:26:40.323Z</dcterms:created>
  <dcterms:modified xsi:type="dcterms:W3CDTF">2026-04-11T10:26:40.324Z</dcterms:modified>
</cp:coreProperties>
</file>

<file path=docProps/custom.xml><?xml version="1.0" encoding="utf-8"?>
<Properties xmlns="http://schemas.openxmlformats.org/officeDocument/2006/custom-properties" xmlns:vt="http://schemas.openxmlformats.org/officeDocument/2006/docPropsVTypes"/>
</file>